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177" w:rsidRPr="004C62FA" w:rsidRDefault="00E92177" w:rsidP="004C62FA">
      <w:pPr>
        <w:jc w:val="center"/>
        <w:rPr>
          <w:rFonts w:ascii="Times New Roman" w:hAnsi="Times New Roman" w:cs="Times New Roman"/>
        </w:rPr>
      </w:pPr>
      <w:bookmarkStart w:id="0" w:name="_GoBack"/>
      <w:bookmarkEnd w:id="0"/>
    </w:p>
    <w:p w:rsidR="004C62FA" w:rsidRPr="004C62FA" w:rsidRDefault="004C62FA" w:rsidP="004C62FA">
      <w:pPr>
        <w:jc w:val="center"/>
        <w:rPr>
          <w:rFonts w:ascii="Times New Roman" w:hAnsi="Times New Roman" w:cs="Times New Roman"/>
        </w:rPr>
      </w:pPr>
    </w:p>
    <w:p w:rsidR="007A4070" w:rsidRPr="004C62FA" w:rsidRDefault="007A4070" w:rsidP="004C62FA">
      <w:pPr>
        <w:jc w:val="center"/>
      </w:pPr>
    </w:p>
    <w:p w:rsidR="007A4070" w:rsidRPr="004C62FA" w:rsidRDefault="00E92177" w:rsidP="004C62FA">
      <w:pPr>
        <w:pStyle w:val="DecHCase"/>
      </w:pPr>
      <w:r w:rsidRPr="004C62FA">
        <w:t>PREMIÈRE SECTION</w:t>
      </w:r>
    </w:p>
    <w:p w:rsidR="007A4070" w:rsidRPr="004C62FA" w:rsidRDefault="007A4070" w:rsidP="004C62FA">
      <w:pPr>
        <w:pStyle w:val="JuTitle"/>
      </w:pPr>
      <w:r w:rsidRPr="004C62FA">
        <w:t xml:space="preserve">AFFAIRE </w:t>
      </w:r>
      <w:r w:rsidR="00E92177" w:rsidRPr="004C62FA">
        <w:t>MASTROIANNI ET TOSCANO c. ITALIE</w:t>
      </w:r>
    </w:p>
    <w:p w:rsidR="007A4070" w:rsidRPr="004C62FA" w:rsidRDefault="007A4070" w:rsidP="004C62FA">
      <w:pPr>
        <w:pStyle w:val="ECHRCoverTitle4"/>
      </w:pPr>
      <w:r w:rsidRPr="004C62FA">
        <w:t>(</w:t>
      </w:r>
      <w:r w:rsidR="00E92177" w:rsidRPr="004C62FA">
        <w:t>Requête n</w:t>
      </w:r>
      <w:r w:rsidR="00E92177" w:rsidRPr="004C62FA">
        <w:rPr>
          <w:vertAlign w:val="superscript"/>
        </w:rPr>
        <w:t>o</w:t>
      </w:r>
      <w:r w:rsidRPr="004C62FA">
        <w:t xml:space="preserve"> </w:t>
      </w:r>
      <w:r w:rsidR="00E92177" w:rsidRPr="004C62FA">
        <w:t>12205/16</w:t>
      </w:r>
      <w:r w:rsidRPr="004C62FA">
        <w:t>)</w:t>
      </w:r>
    </w:p>
    <w:p w:rsidR="007A4070" w:rsidRPr="004C62FA" w:rsidRDefault="007A4070" w:rsidP="004C62FA">
      <w:pPr>
        <w:pStyle w:val="DecHCase"/>
      </w:pPr>
    </w:p>
    <w:p w:rsidR="004C62FA" w:rsidRPr="004C62FA" w:rsidRDefault="004C62FA" w:rsidP="004C62FA">
      <w:pPr>
        <w:pStyle w:val="DecHCase"/>
      </w:pPr>
    </w:p>
    <w:p w:rsidR="004C62FA" w:rsidRPr="004C62FA" w:rsidRDefault="004C62FA" w:rsidP="004C62FA">
      <w:pPr>
        <w:pStyle w:val="DecHCase"/>
      </w:pPr>
    </w:p>
    <w:p w:rsidR="004C62FA" w:rsidRPr="004C62FA" w:rsidRDefault="004C62FA" w:rsidP="004C62FA">
      <w:pPr>
        <w:pStyle w:val="DecHCase"/>
      </w:pPr>
    </w:p>
    <w:p w:rsidR="004C62FA" w:rsidRPr="004C62FA" w:rsidRDefault="007A4070" w:rsidP="004C62FA">
      <w:pPr>
        <w:pStyle w:val="DecHCase"/>
      </w:pPr>
      <w:r w:rsidRPr="004C62FA">
        <w:t>ARRÊT</w:t>
      </w:r>
      <w:r w:rsidRPr="004C62FA">
        <w:br/>
      </w:r>
    </w:p>
    <w:p w:rsidR="004C62FA" w:rsidRPr="004C62FA" w:rsidRDefault="004C62FA" w:rsidP="004C62FA">
      <w:pPr>
        <w:pStyle w:val="DecHCase"/>
        <w:pBdr>
          <w:top w:val="single" w:sz="4" w:space="1" w:color="auto"/>
          <w:left w:val="single" w:sz="4" w:space="4" w:color="auto"/>
          <w:bottom w:val="single" w:sz="4" w:space="1" w:color="auto"/>
          <w:right w:val="single" w:sz="4" w:space="4" w:color="auto"/>
        </w:pBdr>
        <w:jc w:val="both"/>
      </w:pPr>
      <w:r w:rsidRPr="004C62FA">
        <w:t>Art 6 § 1 (civil) • Accès à un tribunal • Art 1 P1 • Respect des biens • Absence d’exécution d’une décision interne définitive ayant fait droit à la demande d’indemnisation pour une infection post-transfusionnelle</w:t>
      </w:r>
    </w:p>
    <w:p w:rsidR="004C62FA" w:rsidRPr="004C62FA" w:rsidRDefault="004C62FA" w:rsidP="004C62FA">
      <w:pPr>
        <w:pStyle w:val="DecHCase"/>
        <w:pBdr>
          <w:top w:val="single" w:sz="4" w:space="1" w:color="auto"/>
          <w:left w:val="single" w:sz="4" w:space="4" w:color="auto"/>
          <w:bottom w:val="single" w:sz="4" w:space="1" w:color="auto"/>
          <w:right w:val="single" w:sz="4" w:space="4" w:color="auto"/>
        </w:pBdr>
        <w:jc w:val="both"/>
      </w:pPr>
      <w:r w:rsidRPr="004C62FA">
        <w:t>Art 13 • Absence de recours effectif</w:t>
      </w:r>
    </w:p>
    <w:p w:rsidR="007A4070" w:rsidRPr="004C62FA" w:rsidRDefault="007A4070" w:rsidP="004C62FA">
      <w:pPr>
        <w:pStyle w:val="DecHCase"/>
      </w:pPr>
    </w:p>
    <w:p w:rsidR="007A4070" w:rsidRPr="004C62FA" w:rsidRDefault="007A4070" w:rsidP="004C62FA">
      <w:pPr>
        <w:pStyle w:val="DecHCase"/>
      </w:pPr>
      <w:r w:rsidRPr="004C62FA">
        <w:t>STRASBOURG</w:t>
      </w:r>
    </w:p>
    <w:p w:rsidR="007A4070" w:rsidRPr="004C62FA" w:rsidRDefault="00E92177" w:rsidP="004C62FA">
      <w:pPr>
        <w:pStyle w:val="DecHCase"/>
      </w:pPr>
      <w:r w:rsidRPr="004C62FA">
        <w:t>24 juin 2021</w:t>
      </w:r>
    </w:p>
    <w:p w:rsidR="00516B59" w:rsidRPr="004C62FA" w:rsidRDefault="007A4070" w:rsidP="004C62FA">
      <w:pPr>
        <w:rPr>
          <w:rFonts w:ascii="Times New Roman" w:hAnsi="Times New Roman" w:cs="Times New Roman"/>
          <w:i/>
          <w:sz w:val="22"/>
        </w:rPr>
      </w:pPr>
      <w:r w:rsidRPr="004C62FA">
        <w:rPr>
          <w:i/>
          <w:sz w:val="22"/>
        </w:rPr>
        <w:t xml:space="preserve">Cet arrêt </w:t>
      </w:r>
      <w:r w:rsidR="00E92177" w:rsidRPr="004C62FA">
        <w:rPr>
          <w:i/>
          <w:sz w:val="22"/>
        </w:rPr>
        <w:t>deviendra définitif dans les conditions définies à l</w:t>
      </w:r>
      <w:r w:rsidR="004C62FA" w:rsidRPr="004C62FA">
        <w:rPr>
          <w:i/>
          <w:sz w:val="22"/>
        </w:rPr>
        <w:t>’</w:t>
      </w:r>
      <w:r w:rsidR="00E92177" w:rsidRPr="004C62FA">
        <w:rPr>
          <w:i/>
          <w:sz w:val="22"/>
        </w:rPr>
        <w:t>article 44 § 2 de la Convention</w:t>
      </w:r>
      <w:r w:rsidRPr="004C62FA">
        <w:rPr>
          <w:i/>
          <w:sz w:val="22"/>
        </w:rPr>
        <w:t>. Il peut subir des retouches de fo</w:t>
      </w:r>
      <w:r w:rsidR="00516B59" w:rsidRPr="004C62FA">
        <w:rPr>
          <w:rFonts w:ascii="Times New Roman" w:hAnsi="Times New Roman" w:cs="Times New Roman"/>
          <w:i/>
          <w:sz w:val="22"/>
        </w:rPr>
        <w:t>rme.</w:t>
      </w:r>
    </w:p>
    <w:p w:rsidR="00516B59" w:rsidRPr="004C62FA" w:rsidRDefault="00516B59" w:rsidP="004C62FA">
      <w:pPr>
        <w:ind w:left="720"/>
        <w:rPr>
          <w:rFonts w:ascii="Times New Roman" w:hAnsi="Times New Roman" w:cs="Times New Roman"/>
          <w:sz w:val="22"/>
        </w:rPr>
        <w:sectPr w:rsidR="00516B59" w:rsidRPr="004C62FA" w:rsidSect="0090260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4C62FA" w:rsidRDefault="004344E6" w:rsidP="004C62FA">
      <w:pPr>
        <w:pStyle w:val="JuCase"/>
      </w:pPr>
      <w:r w:rsidRPr="004C62FA">
        <w:lastRenderedPageBreak/>
        <w:t>En l</w:t>
      </w:r>
      <w:r w:rsidR="004C62FA" w:rsidRPr="004C62FA">
        <w:t>’</w:t>
      </w:r>
      <w:r w:rsidRPr="004C62FA">
        <w:t xml:space="preserve">affaire </w:t>
      </w:r>
      <w:r w:rsidR="00E92177" w:rsidRPr="004C62FA">
        <w:t xml:space="preserve">Mastroianni et </w:t>
      </w:r>
      <w:proofErr w:type="spellStart"/>
      <w:r w:rsidR="00E92177" w:rsidRPr="004C62FA">
        <w:t>Toscano</w:t>
      </w:r>
      <w:proofErr w:type="spellEnd"/>
      <w:r w:rsidR="00E92177" w:rsidRPr="004C62FA">
        <w:t xml:space="preserve"> c. Italie</w:t>
      </w:r>
      <w:r w:rsidRPr="004C62FA">
        <w:t>,</w:t>
      </w:r>
    </w:p>
    <w:p w:rsidR="004344E6" w:rsidRPr="004C62FA" w:rsidRDefault="004344E6" w:rsidP="004C62FA">
      <w:pPr>
        <w:pStyle w:val="JuPara"/>
      </w:pPr>
      <w:r w:rsidRPr="004C62FA">
        <w:t>La Cour européenne des droits de l</w:t>
      </w:r>
      <w:r w:rsidR="004C62FA" w:rsidRPr="004C62FA">
        <w:t>’</w:t>
      </w:r>
      <w:r w:rsidRPr="004C62FA">
        <w:t>homme (</w:t>
      </w:r>
      <w:r w:rsidR="00E92177" w:rsidRPr="004C62FA">
        <w:t>première section</w:t>
      </w:r>
      <w:r w:rsidRPr="004C62FA">
        <w:t xml:space="preserve">), siégeant en </w:t>
      </w:r>
      <w:r w:rsidR="00E92177" w:rsidRPr="004C62FA">
        <w:rPr>
          <w:color w:val="000000"/>
        </w:rPr>
        <w:t>une</w:t>
      </w:r>
      <w:r w:rsidR="00E92177" w:rsidRPr="004C62FA">
        <w:t xml:space="preserve"> Chambre composée</w:t>
      </w:r>
      <w:r w:rsidRPr="004C62FA">
        <w:t xml:space="preserve"> de :</w:t>
      </w:r>
    </w:p>
    <w:p w:rsidR="004344E6" w:rsidRPr="004C62FA" w:rsidRDefault="003D3F29" w:rsidP="004C62FA">
      <w:pPr>
        <w:pStyle w:val="JuJudges"/>
      </w:pPr>
      <w:r w:rsidRPr="004C62FA">
        <w:tab/>
        <w:t xml:space="preserve">Péter </w:t>
      </w:r>
      <w:proofErr w:type="spellStart"/>
      <w:r w:rsidRPr="004C62FA">
        <w:t>Paczolay</w:t>
      </w:r>
      <w:proofErr w:type="spellEnd"/>
      <w:r w:rsidRPr="004C62FA">
        <w:t>,</w:t>
      </w:r>
      <w:r w:rsidRPr="004C62FA">
        <w:rPr>
          <w:i/>
        </w:rPr>
        <w:t xml:space="preserve"> président,</w:t>
      </w:r>
      <w:r w:rsidRPr="004C62FA">
        <w:rPr>
          <w:i/>
        </w:rPr>
        <w:br/>
      </w:r>
      <w:r w:rsidRPr="004C62FA">
        <w:tab/>
        <w:t xml:space="preserve">Krzysztof </w:t>
      </w:r>
      <w:proofErr w:type="spellStart"/>
      <w:r w:rsidRPr="004C62FA">
        <w:t>Wojtyczek</w:t>
      </w:r>
      <w:proofErr w:type="spellEnd"/>
      <w:r w:rsidRPr="004C62FA">
        <w:t>,</w:t>
      </w:r>
      <w:r w:rsidRPr="004C62FA">
        <w:rPr>
          <w:i/>
        </w:rPr>
        <w:br/>
      </w:r>
      <w:r w:rsidRPr="004C62FA">
        <w:tab/>
        <w:t xml:space="preserve">Alena </w:t>
      </w:r>
      <w:proofErr w:type="spellStart"/>
      <w:r w:rsidRPr="004C62FA">
        <w:t>Poláčková</w:t>
      </w:r>
      <w:proofErr w:type="spellEnd"/>
      <w:r w:rsidRPr="004C62FA">
        <w:t>,</w:t>
      </w:r>
      <w:r w:rsidRPr="004C62FA">
        <w:rPr>
          <w:i/>
        </w:rPr>
        <w:br/>
      </w:r>
      <w:r w:rsidRPr="004C62FA">
        <w:tab/>
        <w:t xml:space="preserve">Erik </w:t>
      </w:r>
      <w:proofErr w:type="spellStart"/>
      <w:r w:rsidRPr="004C62FA">
        <w:t>Wennerström</w:t>
      </w:r>
      <w:proofErr w:type="spellEnd"/>
      <w:r w:rsidRPr="004C62FA">
        <w:t>,</w:t>
      </w:r>
      <w:r w:rsidRPr="004C62FA">
        <w:rPr>
          <w:i/>
        </w:rPr>
        <w:br/>
      </w:r>
      <w:r w:rsidRPr="004C62FA">
        <w:tab/>
        <w:t>Raffaele Sabato,</w:t>
      </w:r>
      <w:r w:rsidRPr="004C62FA">
        <w:rPr>
          <w:i/>
        </w:rPr>
        <w:br/>
      </w:r>
      <w:r w:rsidRPr="004C62FA">
        <w:tab/>
        <w:t xml:space="preserve">Lorraine </w:t>
      </w:r>
      <w:proofErr w:type="spellStart"/>
      <w:r w:rsidRPr="004C62FA">
        <w:t>Schembri</w:t>
      </w:r>
      <w:proofErr w:type="spellEnd"/>
      <w:r w:rsidRPr="004C62FA">
        <w:t xml:space="preserve"> </w:t>
      </w:r>
      <w:proofErr w:type="spellStart"/>
      <w:r w:rsidRPr="004C62FA">
        <w:t>Orland</w:t>
      </w:r>
      <w:proofErr w:type="spellEnd"/>
      <w:r w:rsidRPr="004C62FA">
        <w:t>,</w:t>
      </w:r>
      <w:r w:rsidRPr="004C62FA">
        <w:rPr>
          <w:i/>
        </w:rPr>
        <w:br/>
      </w:r>
      <w:r w:rsidRPr="004C62FA">
        <w:tab/>
        <w:t xml:space="preserve">Ioannis </w:t>
      </w:r>
      <w:proofErr w:type="spellStart"/>
      <w:r w:rsidRPr="004C62FA">
        <w:t>Ktistakis</w:t>
      </w:r>
      <w:proofErr w:type="spellEnd"/>
      <w:r w:rsidRPr="004C62FA">
        <w:t>,</w:t>
      </w:r>
      <w:r w:rsidRPr="004C62FA">
        <w:rPr>
          <w:i/>
        </w:rPr>
        <w:t xml:space="preserve"> juges,</w:t>
      </w:r>
      <w:r w:rsidRPr="004C62FA">
        <w:rPr>
          <w:i/>
        </w:rPr>
        <w:br/>
      </w:r>
      <w:r w:rsidR="004344E6" w:rsidRPr="004C62FA">
        <w:t xml:space="preserve">et de </w:t>
      </w:r>
      <w:r w:rsidR="00E07857" w:rsidRPr="004C62FA">
        <w:t xml:space="preserve">Liv </w:t>
      </w:r>
      <w:proofErr w:type="spellStart"/>
      <w:r w:rsidR="00E07857" w:rsidRPr="004C62FA">
        <w:t>Tigerstedt</w:t>
      </w:r>
      <w:proofErr w:type="spellEnd"/>
      <w:r w:rsidR="00E07857" w:rsidRPr="004C62FA">
        <w:rPr>
          <w:rStyle w:val="JuJudgesChar"/>
        </w:rPr>
        <w:t xml:space="preserve">, </w:t>
      </w:r>
      <w:bookmarkStart w:id="1" w:name="_Hlk51854214"/>
      <w:r w:rsidR="000535AA" w:rsidRPr="004C62FA">
        <w:rPr>
          <w:i/>
        </w:rPr>
        <w:t>g</w:t>
      </w:r>
      <w:r w:rsidR="00E07857" w:rsidRPr="004C62FA">
        <w:rPr>
          <w:i/>
        </w:rPr>
        <w:t>reffière adjointe de section</w:t>
      </w:r>
      <w:bookmarkEnd w:id="1"/>
      <w:r w:rsidR="00E07857" w:rsidRPr="004C62FA">
        <w:rPr>
          <w:i/>
        </w:rPr>
        <w:t>,</w:t>
      </w:r>
    </w:p>
    <w:p w:rsidR="00E92177" w:rsidRPr="004C62FA" w:rsidRDefault="00E92177" w:rsidP="004C62FA">
      <w:pPr>
        <w:pStyle w:val="JuPara"/>
      </w:pPr>
      <w:bookmarkStart w:id="2" w:name="ITMARKHavingStart"/>
      <w:bookmarkEnd w:id="2"/>
      <w:r w:rsidRPr="004C62FA">
        <w:t>Vu :</w:t>
      </w:r>
    </w:p>
    <w:p w:rsidR="00E92177" w:rsidRPr="004C62FA" w:rsidRDefault="00E92177" w:rsidP="004C62FA">
      <w:pPr>
        <w:pStyle w:val="JuPara"/>
      </w:pPr>
      <w:proofErr w:type="gramStart"/>
      <w:r w:rsidRPr="004C62FA">
        <w:t>la</w:t>
      </w:r>
      <w:proofErr w:type="gramEnd"/>
      <w:r w:rsidRPr="004C62FA">
        <w:t xml:space="preserve"> requête (n</w:t>
      </w:r>
      <w:r w:rsidRPr="004C62FA">
        <w:rPr>
          <w:vertAlign w:val="superscript"/>
        </w:rPr>
        <w:t>o</w:t>
      </w:r>
      <w:r w:rsidRPr="004C62FA">
        <w:t> 12205/16) dirigée contre la République italienne et dont deux ressortissants de cet État, M. Mario Mastroianni et M</w:t>
      </w:r>
      <w:r w:rsidRPr="004C62FA">
        <w:rPr>
          <w:vertAlign w:val="superscript"/>
        </w:rPr>
        <w:t>me</w:t>
      </w:r>
      <w:r w:rsidRPr="004C62FA">
        <w:t xml:space="preserve"> </w:t>
      </w:r>
      <w:proofErr w:type="spellStart"/>
      <w:r w:rsidRPr="004C62FA">
        <w:t>Fernanda</w:t>
      </w:r>
      <w:proofErr w:type="spellEnd"/>
      <w:r w:rsidRPr="004C62FA">
        <w:t xml:space="preserve"> </w:t>
      </w:r>
      <w:proofErr w:type="spellStart"/>
      <w:r w:rsidRPr="004C62FA">
        <w:t>Damiana</w:t>
      </w:r>
      <w:proofErr w:type="spellEnd"/>
      <w:r w:rsidRPr="004C62FA">
        <w:t xml:space="preserve"> </w:t>
      </w:r>
      <w:proofErr w:type="spellStart"/>
      <w:r w:rsidRPr="004C62FA">
        <w:t>Toscano</w:t>
      </w:r>
      <w:proofErr w:type="spellEnd"/>
      <w:r w:rsidRPr="004C62FA">
        <w:t xml:space="preserve"> (« les requérants »), ont </w:t>
      </w:r>
      <w:bookmarkStart w:id="3" w:name="_Hlk36124016"/>
      <w:r w:rsidRPr="004C62FA">
        <w:t>saisi la Cour le 5 février 2016 en vertu de l</w:t>
      </w:r>
      <w:r w:rsidR="004C62FA" w:rsidRPr="004C62FA">
        <w:t>’</w:t>
      </w:r>
      <w:r w:rsidRPr="004C62FA">
        <w:t>article 34 de la Convention de sauvegarde des droits de l</w:t>
      </w:r>
      <w:r w:rsidR="004C62FA" w:rsidRPr="004C62FA">
        <w:t>’</w:t>
      </w:r>
      <w:r w:rsidRPr="004C62FA">
        <w:t>homme et des libertés fondamentales (« la Convention »)</w:t>
      </w:r>
      <w:bookmarkEnd w:id="3"/>
      <w:r w:rsidRPr="004C62FA">
        <w:t>,</w:t>
      </w:r>
    </w:p>
    <w:p w:rsidR="00E92177" w:rsidRPr="004C62FA" w:rsidRDefault="00E92177" w:rsidP="004C62FA">
      <w:pPr>
        <w:pStyle w:val="JuPara"/>
      </w:pPr>
      <w:proofErr w:type="gramStart"/>
      <w:r w:rsidRPr="004C62FA">
        <w:t>la</w:t>
      </w:r>
      <w:proofErr w:type="gramEnd"/>
      <w:r w:rsidRPr="004C62FA">
        <w:t xml:space="preserve"> décision de porter à la connaissance du gouvernement italien (« le Gouvernement ») les griefs concernant l</w:t>
      </w:r>
      <w:r w:rsidR="004C62FA" w:rsidRPr="004C62FA">
        <w:t>’</w:t>
      </w:r>
      <w:r w:rsidRPr="004C62FA">
        <w:t>article 6 § 1 de la Convention, l</w:t>
      </w:r>
      <w:r w:rsidR="004C62FA" w:rsidRPr="004C62FA">
        <w:t>’</w:t>
      </w:r>
      <w:r w:rsidRPr="004C62FA">
        <w:t>article 1 du Protocole n</w:t>
      </w:r>
      <w:r w:rsidRPr="004C62FA">
        <w:rPr>
          <w:vertAlign w:val="superscript"/>
        </w:rPr>
        <w:t>o</w:t>
      </w:r>
      <w:r w:rsidRPr="004C62FA">
        <w:t xml:space="preserve"> 1 à la Convention et l</w:t>
      </w:r>
      <w:r w:rsidR="004C62FA" w:rsidRPr="004C62FA">
        <w:t>’</w:t>
      </w:r>
      <w:r w:rsidRPr="004C62FA">
        <w:t>article 13 de la Convention,</w:t>
      </w:r>
    </w:p>
    <w:p w:rsidR="00E92177" w:rsidRPr="004C62FA" w:rsidRDefault="00E92177" w:rsidP="004C62FA">
      <w:pPr>
        <w:pStyle w:val="JuPara"/>
      </w:pPr>
      <w:proofErr w:type="gramStart"/>
      <w:r w:rsidRPr="004C62FA">
        <w:t>les</w:t>
      </w:r>
      <w:proofErr w:type="gramEnd"/>
      <w:r w:rsidRPr="004C62FA">
        <w:t xml:space="preserve"> observations des parties,</w:t>
      </w:r>
    </w:p>
    <w:p w:rsidR="004344E6" w:rsidRPr="004C62FA" w:rsidRDefault="004344E6" w:rsidP="004C62FA">
      <w:pPr>
        <w:pStyle w:val="JuPara"/>
      </w:pPr>
      <w:r w:rsidRPr="004C62FA">
        <w:t xml:space="preserve">Après en avoir délibéré en chambre du conseil le </w:t>
      </w:r>
      <w:r w:rsidR="00E92177" w:rsidRPr="004C62FA">
        <w:t>1</w:t>
      </w:r>
      <w:r w:rsidR="00E92177" w:rsidRPr="004C62FA">
        <w:rPr>
          <w:vertAlign w:val="superscript"/>
        </w:rPr>
        <w:t>er</w:t>
      </w:r>
      <w:r w:rsidR="00E92177" w:rsidRPr="004C62FA">
        <w:t xml:space="preserve"> juin 2021</w:t>
      </w:r>
      <w:r w:rsidRPr="004C62FA">
        <w:t>,</w:t>
      </w:r>
    </w:p>
    <w:p w:rsidR="00876F03" w:rsidRPr="004C62FA" w:rsidRDefault="004344E6" w:rsidP="004C62FA">
      <w:pPr>
        <w:pStyle w:val="JuPara"/>
      </w:pPr>
      <w:r w:rsidRPr="004C62FA">
        <w:t>Rend l</w:t>
      </w:r>
      <w:r w:rsidR="004C62FA" w:rsidRPr="004C62FA">
        <w:t>’</w:t>
      </w:r>
      <w:r w:rsidRPr="004C62FA">
        <w:t>arrêt que voici</w:t>
      </w:r>
      <w:r w:rsidR="00876F03" w:rsidRPr="004C62FA">
        <w:t>, adopté à cette date :</w:t>
      </w:r>
    </w:p>
    <w:p w:rsidR="00E92177" w:rsidRPr="004C62FA" w:rsidRDefault="00E92177" w:rsidP="004C62FA">
      <w:pPr>
        <w:pStyle w:val="JuHHead"/>
      </w:pPr>
      <w:r w:rsidRPr="004C62FA">
        <w:rPr>
          <w:caps w:val="0"/>
        </w:rPr>
        <w:t>INTRODUCTION</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1</w:t>
      </w:r>
      <w:r w:rsidRPr="004C62FA">
        <w:fldChar w:fldCharType="end"/>
      </w:r>
      <w:r w:rsidRPr="004C62FA">
        <w:t>.  La requête concerne l</w:t>
      </w:r>
      <w:r w:rsidR="004C62FA" w:rsidRPr="004C62FA">
        <w:t>’</w:t>
      </w:r>
      <w:r w:rsidRPr="004C62FA">
        <w:t>inexécution d</w:t>
      </w:r>
      <w:r w:rsidR="004C62FA" w:rsidRPr="004C62FA">
        <w:t>’</w:t>
      </w:r>
      <w:r w:rsidRPr="004C62FA">
        <w:t>une décision interne définitive reconnaissant aux requérants un droit à être indemnisé pour l</w:t>
      </w:r>
      <w:r w:rsidR="004C62FA" w:rsidRPr="004C62FA">
        <w:t>’</w:t>
      </w:r>
      <w:r w:rsidRPr="004C62FA">
        <w:t>infection post-transfusionnelle contractée par le premier requérant.</w:t>
      </w:r>
    </w:p>
    <w:p w:rsidR="00E92177" w:rsidRPr="004C62FA" w:rsidRDefault="00E92177" w:rsidP="004C62FA">
      <w:pPr>
        <w:pStyle w:val="JuHHead"/>
      </w:pPr>
      <w:bookmarkStart w:id="4" w:name="_Hlk36126677"/>
      <w:r w:rsidRPr="004C62FA">
        <w:t>EN FAIT</w:t>
      </w:r>
    </w:p>
    <w:bookmarkEnd w:id="4"/>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2</w:t>
      </w:r>
      <w:r w:rsidRPr="004C62FA">
        <w:fldChar w:fldCharType="end"/>
      </w:r>
      <w:r w:rsidRPr="004C62FA">
        <w:t xml:space="preserve">.  Les requérants sont nés respectivement en 1965 et en 1969 et résident à </w:t>
      </w:r>
      <w:proofErr w:type="spellStart"/>
      <w:r w:rsidRPr="004C62FA">
        <w:t>Alvignano</w:t>
      </w:r>
      <w:proofErr w:type="spellEnd"/>
      <w:r w:rsidRPr="004C62FA">
        <w:t xml:space="preserve"> (Caserte). Ils ont été représentés par M</w:t>
      </w:r>
      <w:r w:rsidRPr="004C62FA">
        <w:rPr>
          <w:vertAlign w:val="superscript"/>
        </w:rPr>
        <w:t>e</w:t>
      </w:r>
      <w:r w:rsidRPr="004C62FA">
        <w:t xml:space="preserve"> </w:t>
      </w:r>
      <w:bookmarkStart w:id="5" w:name="_Hlk75337269"/>
      <w:r w:rsidRPr="004C62FA">
        <w:t>F. Mancini,</w:t>
      </w:r>
      <w:bookmarkEnd w:id="5"/>
      <w:r w:rsidRPr="004C62FA">
        <w:t xml:space="preserve"> avocat.</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3</w:t>
      </w:r>
      <w:r w:rsidRPr="004C62FA">
        <w:fldChar w:fldCharType="end"/>
      </w:r>
      <w:r w:rsidRPr="004C62FA">
        <w:t>.  </w:t>
      </w:r>
      <w:bookmarkStart w:id="6" w:name="_Hlk36127123"/>
      <w:r w:rsidRPr="004C62FA">
        <w:t xml:space="preserve">Le Gouvernement a été représenté par son ancien </w:t>
      </w:r>
      <w:proofErr w:type="spellStart"/>
      <w:r w:rsidRPr="004C62FA">
        <w:t>co</w:t>
      </w:r>
      <w:proofErr w:type="spellEnd"/>
      <w:r w:rsidRPr="004C62FA">
        <w:t>-agent, M</w:t>
      </w:r>
      <w:r w:rsidRPr="004C62FA">
        <w:rPr>
          <w:vertAlign w:val="superscript"/>
        </w:rPr>
        <w:t>me</w:t>
      </w:r>
      <w:r w:rsidRPr="004C62FA">
        <w:t> M.G. </w:t>
      </w:r>
      <w:proofErr w:type="spellStart"/>
      <w:r w:rsidRPr="004C62FA">
        <w:t>Civinini</w:t>
      </w:r>
      <w:proofErr w:type="spellEnd"/>
      <w:r w:rsidRPr="004C62FA">
        <w:t>.</w:t>
      </w:r>
      <w:bookmarkEnd w:id="6"/>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4</w:t>
      </w:r>
      <w:r w:rsidRPr="004C62FA">
        <w:fldChar w:fldCharType="end"/>
      </w:r>
      <w:r w:rsidRPr="004C62FA">
        <w:t>.  Le 25 juillet 2008, les requérants, conjoints, entamèrent une procédure civile devant le tribunal de Naples contre le ministère de la Santé en réparation du dommage qu</w:t>
      </w:r>
      <w:r w:rsidR="004C62FA" w:rsidRPr="004C62FA">
        <w:t>’</w:t>
      </w:r>
      <w:r w:rsidRPr="004C62FA">
        <w:t>ils estimaient avoir subi à la suite de l</w:t>
      </w:r>
      <w:r w:rsidR="004C62FA" w:rsidRPr="004C62FA">
        <w:t>’</w:t>
      </w:r>
      <w:r w:rsidRPr="004C62FA">
        <w:t>infection post-transfusionnelle contractée par le premier requérant en 1986.</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5</w:t>
      </w:r>
      <w:r w:rsidRPr="004C62FA">
        <w:fldChar w:fldCharType="end"/>
      </w:r>
      <w:r w:rsidRPr="004C62FA">
        <w:t xml:space="preserve">.  Par un jugement exécutoire par provision du 11 mars 2013, le tribunal fit droit à cette demande et condamna le ministère de la Santé à verser 101 151,88 euros (EUR) au premier requérant et 12 508,44 EUR à la deuxième requérante. Le 10 octobre 2013, le jugement fut revêtu de la </w:t>
      </w:r>
      <w:r w:rsidRPr="004C62FA">
        <w:lastRenderedPageBreak/>
        <w:t>formule exécutoire et, le 18 novembre 2014, il fut signifié au ministère de la Santé.</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6</w:t>
      </w:r>
      <w:r w:rsidRPr="004C62FA">
        <w:fldChar w:fldCharType="end"/>
      </w:r>
      <w:r w:rsidRPr="004C62FA">
        <w:t>.  Le 16 mai 2015, ledit jugement n</w:t>
      </w:r>
      <w:r w:rsidR="004C62FA" w:rsidRPr="004C62FA">
        <w:t>’</w:t>
      </w:r>
      <w:r w:rsidRPr="004C62FA">
        <w:t>ayant pas été exécuté, les requérants signifièrent au ministère de la Santé un commandement de payer (</w:t>
      </w:r>
      <w:proofErr w:type="spellStart"/>
      <w:r w:rsidRPr="004C62FA">
        <w:rPr>
          <w:i/>
          <w:iCs/>
        </w:rPr>
        <w:t>atto</w:t>
      </w:r>
      <w:proofErr w:type="spellEnd"/>
      <w:r w:rsidRPr="004C62FA">
        <w:rPr>
          <w:i/>
          <w:iCs/>
        </w:rPr>
        <w:t xml:space="preserve"> di </w:t>
      </w:r>
      <w:proofErr w:type="spellStart"/>
      <w:r w:rsidRPr="004C62FA">
        <w:rPr>
          <w:i/>
          <w:iCs/>
        </w:rPr>
        <w:t>precetto</w:t>
      </w:r>
      <w:proofErr w:type="spellEnd"/>
      <w:r w:rsidRPr="004C62FA">
        <w:t>) et, cette procédure ayant échoué, ils introduisirent une demande d</w:t>
      </w:r>
      <w:r w:rsidR="004C62FA" w:rsidRPr="004C62FA">
        <w:t>’</w:t>
      </w:r>
      <w:r w:rsidRPr="004C62FA">
        <w:t>expropriation immobilière, mais en vain.</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7</w:t>
      </w:r>
      <w:r w:rsidRPr="004C62FA">
        <w:fldChar w:fldCharType="end"/>
      </w:r>
      <w:r w:rsidRPr="004C62FA">
        <w:t>.  Le ministère de la Santé ayant entre-temps interjeté appel, la cour d</w:t>
      </w:r>
      <w:r w:rsidR="004C62FA" w:rsidRPr="004C62FA">
        <w:t>’</w:t>
      </w:r>
      <w:r w:rsidRPr="004C62FA">
        <w:t>appel de Naples, par un arrêt du 20 novembre 2018, confirma le jugement de première instance.</w:t>
      </w:r>
    </w:p>
    <w:p w:rsidR="00E92177" w:rsidRPr="004C62FA" w:rsidRDefault="00E92177" w:rsidP="004C62FA">
      <w:pPr>
        <w:pStyle w:val="JuHHead"/>
        <w:numPr>
          <w:ilvl w:val="0"/>
          <w:numId w:val="1"/>
        </w:numPr>
      </w:pPr>
      <w:bookmarkStart w:id="7" w:name="_Hlk36127227"/>
      <w:bookmarkStart w:id="8" w:name="_Hlk36127236"/>
      <w:r w:rsidRPr="004C62FA">
        <w:rPr>
          <w:caps w:val="0"/>
        </w:rPr>
        <w:t>LE CADRE JURIDIQUE INTERNE PERTINENT</w:t>
      </w:r>
    </w:p>
    <w:bookmarkEnd w:id="7"/>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8</w:t>
      </w:r>
      <w:r w:rsidRPr="004C62FA">
        <w:fldChar w:fldCharType="end"/>
      </w:r>
      <w:r w:rsidRPr="004C62FA">
        <w:t>.  Le Chapitre IV du code de procédure civile (Caractère exécutoire et signification des jugements) contient l</w:t>
      </w:r>
      <w:r w:rsidR="004C62FA" w:rsidRPr="004C62FA">
        <w:t>’</w:t>
      </w:r>
      <w:r w:rsidRPr="004C62FA">
        <w:t>article suivant :</w:t>
      </w:r>
    </w:p>
    <w:p w:rsidR="00E92177" w:rsidRPr="004C62FA" w:rsidRDefault="00E92177" w:rsidP="004C62FA">
      <w:pPr>
        <w:pStyle w:val="JuHArticle"/>
      </w:pPr>
      <w:r w:rsidRPr="004C62FA">
        <w:t>Article 282</w:t>
      </w:r>
    </w:p>
    <w:p w:rsidR="00E92177" w:rsidRPr="004C62FA" w:rsidRDefault="00E92177" w:rsidP="004C62FA">
      <w:pPr>
        <w:pStyle w:val="JuQuot"/>
      </w:pPr>
      <w:r w:rsidRPr="004C62FA">
        <w:t>« Le jugement de première instance est exécutoire par provision entre les parties. »</w:t>
      </w:r>
      <w:bookmarkEnd w:id="8"/>
    </w:p>
    <w:p w:rsidR="00E92177" w:rsidRPr="004C62FA" w:rsidRDefault="00E92177" w:rsidP="004C62FA">
      <w:pPr>
        <w:pStyle w:val="JuHHead"/>
      </w:pPr>
      <w:bookmarkStart w:id="9" w:name="_Hlk36127250"/>
      <w:r w:rsidRPr="004C62FA">
        <w:rPr>
          <w:caps w:val="0"/>
        </w:rPr>
        <w:t>EN DROIT</w:t>
      </w:r>
      <w:bookmarkEnd w:id="9"/>
    </w:p>
    <w:p w:rsidR="00E92177" w:rsidRPr="004C62FA" w:rsidRDefault="00E92177" w:rsidP="004C62FA">
      <w:pPr>
        <w:pStyle w:val="JuHIRoman"/>
      </w:pPr>
      <w:bookmarkStart w:id="10" w:name="_Hlk36127423"/>
      <w:r w:rsidRPr="004C62FA">
        <w:t>SUR LA VIOLATION ALLÉGUÉE DE L</w:t>
      </w:r>
      <w:r w:rsidR="004C62FA" w:rsidRPr="004C62FA">
        <w:t>’</w:t>
      </w:r>
      <w:r w:rsidRPr="004C62FA">
        <w:t xml:space="preserve">ARTICLE 6 § 1 </w:t>
      </w:r>
      <w:bookmarkEnd w:id="10"/>
      <w:r w:rsidRPr="004C62FA">
        <w:t>de la Convention, de l</w:t>
      </w:r>
      <w:r w:rsidR="004C62FA" w:rsidRPr="004C62FA">
        <w:t>’</w:t>
      </w:r>
      <w:r w:rsidRPr="004C62FA">
        <w:t>article 1 du Protocole n</w:t>
      </w:r>
      <w:r w:rsidRPr="004C62FA">
        <w:rPr>
          <w:vertAlign w:val="superscript"/>
        </w:rPr>
        <w:t>o</w:t>
      </w:r>
      <w:r w:rsidRPr="004C62FA">
        <w:t xml:space="preserve"> 1 à la Convention et de l</w:t>
      </w:r>
      <w:r w:rsidR="004C62FA" w:rsidRPr="004C62FA">
        <w:t>’</w:t>
      </w:r>
      <w:r w:rsidRPr="004C62FA">
        <w:t>article 13 de la Convention</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9</w:t>
      </w:r>
      <w:r w:rsidRPr="004C62FA">
        <w:fldChar w:fldCharType="end"/>
      </w:r>
      <w:r w:rsidRPr="004C62FA">
        <w:t xml:space="preserve">.  Les requérants se plaignent </w:t>
      </w:r>
      <w:bookmarkStart w:id="11" w:name="_Hlk36127488"/>
      <w:r w:rsidRPr="004C62FA">
        <w:t>de l</w:t>
      </w:r>
      <w:r w:rsidR="004C62FA" w:rsidRPr="004C62FA">
        <w:t>’</w:t>
      </w:r>
      <w:r w:rsidRPr="004C62FA">
        <w:t>inexécution du jugement leur reconnaissant un droit à être indemnisés à la suite de l</w:t>
      </w:r>
      <w:r w:rsidR="004C62FA" w:rsidRPr="004C62FA">
        <w:t>’</w:t>
      </w:r>
      <w:r w:rsidRPr="004C62FA">
        <w:t>infection post-transfusionnelle du premier requérant.</w:t>
      </w:r>
      <w:bookmarkEnd w:id="11"/>
      <w:r w:rsidRPr="004C62FA">
        <w:t xml:space="preserve"> À cet égard, ils plaident d</w:t>
      </w:r>
      <w:r w:rsidR="004C62FA" w:rsidRPr="004C62FA">
        <w:t>’</w:t>
      </w:r>
      <w:r w:rsidRPr="004C62FA">
        <w:t>abord la violation de leur droit d</w:t>
      </w:r>
      <w:r w:rsidR="004C62FA" w:rsidRPr="004C62FA">
        <w:t>’</w:t>
      </w:r>
      <w:r w:rsidRPr="004C62FA">
        <w:t>accès à un tribunal, garanti par l</w:t>
      </w:r>
      <w:r w:rsidR="004C62FA" w:rsidRPr="004C62FA">
        <w:t>’</w:t>
      </w:r>
      <w:r w:rsidRPr="004C62FA">
        <w:t xml:space="preserve">article 6 § 1 de la Convention. </w:t>
      </w:r>
      <w:bookmarkStart w:id="12" w:name="_Hlk36127508"/>
      <w:r w:rsidRPr="004C62FA">
        <w:t>Sous l</w:t>
      </w:r>
      <w:r w:rsidR="004C62FA" w:rsidRPr="004C62FA">
        <w:t>’</w:t>
      </w:r>
      <w:r w:rsidRPr="004C62FA">
        <w:t>angle du même article, les requérants se plaignent aussi de la longueur, excessive selon eux, de la procédure.</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10</w:t>
      </w:r>
      <w:r w:rsidRPr="004C62FA">
        <w:fldChar w:fldCharType="end"/>
      </w:r>
      <w:r w:rsidRPr="004C62FA">
        <w:t>.  Invoquant l</w:t>
      </w:r>
      <w:r w:rsidR="004C62FA" w:rsidRPr="004C62FA">
        <w:t>’</w:t>
      </w:r>
      <w:r w:rsidRPr="004C62FA">
        <w:t>article 1 du Protocole n</w:t>
      </w:r>
      <w:r w:rsidRPr="004C62FA">
        <w:rPr>
          <w:vertAlign w:val="superscript"/>
        </w:rPr>
        <w:t>o</w:t>
      </w:r>
      <w:r w:rsidRPr="004C62FA">
        <w:t xml:space="preserve"> 1 à la Convention, les requérants dénoncent également une violation de leur droit de propriété résultant de l</w:t>
      </w:r>
      <w:r w:rsidR="004C62FA" w:rsidRPr="004C62FA">
        <w:t>’</w:t>
      </w:r>
      <w:r w:rsidRPr="004C62FA">
        <w:t>inexécution de la créance née dudit jugement.</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11</w:t>
      </w:r>
      <w:r w:rsidRPr="004C62FA">
        <w:fldChar w:fldCharType="end"/>
      </w:r>
      <w:r w:rsidRPr="004C62FA">
        <w:t>.  Enfin, sous l</w:t>
      </w:r>
      <w:r w:rsidR="004C62FA" w:rsidRPr="004C62FA">
        <w:t>’</w:t>
      </w:r>
      <w:r w:rsidRPr="004C62FA">
        <w:t>angle de l</w:t>
      </w:r>
      <w:r w:rsidR="004C62FA" w:rsidRPr="004C62FA">
        <w:t>’</w:t>
      </w:r>
      <w:r w:rsidRPr="004C62FA">
        <w:t>article 13 de la Convention, ils se plaignent de ne pas avoir pu disposer d</w:t>
      </w:r>
      <w:r w:rsidR="004C62FA" w:rsidRPr="004C62FA">
        <w:t>’</w:t>
      </w:r>
      <w:r w:rsidRPr="004C62FA">
        <w:t>un recours effectif au niveau interne pour soulever leurs griefs. Ces articles sont ainsi libellés :</w:t>
      </w:r>
    </w:p>
    <w:p w:rsidR="00E92177" w:rsidRPr="004C62FA" w:rsidRDefault="00E92177" w:rsidP="004C62FA">
      <w:pPr>
        <w:pStyle w:val="JuHArticle"/>
      </w:pPr>
      <w:r w:rsidRPr="004C62FA">
        <w:t>Article 6 § 1 de la Convention</w:t>
      </w:r>
    </w:p>
    <w:p w:rsidR="00E92177" w:rsidRPr="004C62FA" w:rsidRDefault="00E92177" w:rsidP="004C62FA">
      <w:pPr>
        <w:pStyle w:val="JuQuot"/>
      </w:pPr>
      <w:r w:rsidRPr="004C62FA">
        <w:t>« Toute personne a droit à ce que sa cause soit entendue équitablement (...) par un tribunal (...), qui décidera (...) des contestations sur ses droits et obligations de caractère civil (...) »</w:t>
      </w:r>
    </w:p>
    <w:p w:rsidR="00E92177" w:rsidRPr="004C62FA" w:rsidRDefault="00E92177" w:rsidP="004C62FA">
      <w:pPr>
        <w:pStyle w:val="JuHArticle"/>
      </w:pPr>
      <w:r w:rsidRPr="004C62FA">
        <w:lastRenderedPageBreak/>
        <w:t>Article 1 du Protocole n</w:t>
      </w:r>
      <w:r w:rsidRPr="004C62FA">
        <w:rPr>
          <w:vertAlign w:val="superscript"/>
        </w:rPr>
        <w:t>o</w:t>
      </w:r>
      <w:r w:rsidRPr="004C62FA">
        <w:t xml:space="preserve"> 1 à la Convention</w:t>
      </w:r>
    </w:p>
    <w:p w:rsidR="00E92177" w:rsidRPr="004C62FA" w:rsidRDefault="00E92177" w:rsidP="004C62FA">
      <w:pPr>
        <w:pStyle w:val="JuQuot"/>
      </w:pPr>
      <w:r w:rsidRPr="004C62FA">
        <w:t>« Toute personne physique ou morale a droit au respect de ses biens. Nul ne peut être privé de sa propriété que pour cause d</w:t>
      </w:r>
      <w:r w:rsidR="004C62FA" w:rsidRPr="004C62FA">
        <w:t>’</w:t>
      </w:r>
      <w:r w:rsidRPr="004C62FA">
        <w:t>utilité publique et dans les conditions prévues par la loi et les principes généraux du droit international.</w:t>
      </w:r>
    </w:p>
    <w:p w:rsidR="00E92177" w:rsidRPr="004C62FA" w:rsidRDefault="00E92177" w:rsidP="004C62FA">
      <w:pPr>
        <w:pStyle w:val="JuQuot"/>
      </w:pPr>
      <w:r w:rsidRPr="004C62FA">
        <w:t>Les dispositions précédentes ne portent pas atteinte au droit que possèdent les États de mettre en vigueur les lois qu</w:t>
      </w:r>
      <w:r w:rsidR="004C62FA" w:rsidRPr="004C62FA">
        <w:t>’</w:t>
      </w:r>
      <w:r w:rsidRPr="004C62FA">
        <w:t>ils jugent nécessaires pour réglementer l</w:t>
      </w:r>
      <w:r w:rsidR="004C62FA" w:rsidRPr="004C62FA">
        <w:t>’</w:t>
      </w:r>
      <w:r w:rsidRPr="004C62FA">
        <w:t>usage des biens conformément à l</w:t>
      </w:r>
      <w:r w:rsidR="004C62FA" w:rsidRPr="004C62FA">
        <w:t>’</w:t>
      </w:r>
      <w:r w:rsidRPr="004C62FA">
        <w:t>intérêt général ou pour assurer le paiement des impôts ou d</w:t>
      </w:r>
      <w:r w:rsidR="004C62FA" w:rsidRPr="004C62FA">
        <w:t>’</w:t>
      </w:r>
      <w:r w:rsidRPr="004C62FA">
        <w:t>autres contributions ou des amendes. »</w:t>
      </w:r>
    </w:p>
    <w:p w:rsidR="00E92177" w:rsidRPr="004C62FA" w:rsidRDefault="00E92177" w:rsidP="004C62FA">
      <w:pPr>
        <w:pStyle w:val="JuHArticle"/>
      </w:pPr>
      <w:r w:rsidRPr="004C62FA">
        <w:t>Article 13 de la Convention</w:t>
      </w:r>
    </w:p>
    <w:p w:rsidR="00E92177" w:rsidRPr="004C62FA" w:rsidRDefault="00E92177" w:rsidP="004C62FA">
      <w:pPr>
        <w:pStyle w:val="JuQuot"/>
        <w:rPr>
          <w:b/>
          <w:bCs/>
        </w:rPr>
      </w:pPr>
      <w:r w:rsidRPr="004C62FA">
        <w:t>« Toute personne dont les droits et libertés reconnus dans la (...) Convention ont été violés, a droit à l</w:t>
      </w:r>
      <w:r w:rsidR="004C62FA" w:rsidRPr="004C62FA">
        <w:t>’</w:t>
      </w:r>
      <w:r w:rsidRPr="004C62FA">
        <w:t>octroi d</w:t>
      </w:r>
      <w:r w:rsidR="004C62FA" w:rsidRPr="004C62FA">
        <w:t>’</w:t>
      </w:r>
      <w:r w:rsidRPr="004C62FA">
        <w:t>un recours effectif devant une instance nationale, alors même que la violation aurait été commise par des personnes agissant dans l</w:t>
      </w:r>
      <w:r w:rsidR="004C62FA" w:rsidRPr="004C62FA">
        <w:t>’</w:t>
      </w:r>
      <w:r w:rsidRPr="004C62FA">
        <w:t>exercice de leurs fonctions officielles. »</w:t>
      </w:r>
    </w:p>
    <w:p w:rsidR="00E92177" w:rsidRPr="004C62FA" w:rsidRDefault="00E92177" w:rsidP="004C62FA">
      <w:pPr>
        <w:pStyle w:val="JuHA"/>
      </w:pPr>
      <w:bookmarkStart w:id="13" w:name="_Hlk36127545"/>
      <w:bookmarkEnd w:id="12"/>
      <w:r w:rsidRPr="004C62FA">
        <w:t>Sur la recevabilité</w:t>
      </w:r>
      <w:bookmarkEnd w:id="13"/>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12</w:t>
      </w:r>
      <w:r w:rsidRPr="004C62FA">
        <w:fldChar w:fldCharType="end"/>
      </w:r>
      <w:r w:rsidRPr="004C62FA">
        <w:t>.  </w:t>
      </w:r>
      <w:bookmarkStart w:id="14" w:name="_Hlk36127558"/>
      <w:r w:rsidRPr="004C62FA">
        <w:t>Le Gouvernement soutient que le jugement du tribunal de Naples n</w:t>
      </w:r>
      <w:r w:rsidR="004C62FA" w:rsidRPr="004C62FA">
        <w:t>’</w:t>
      </w:r>
      <w:r w:rsidRPr="004C62FA">
        <w:t>était pas exécutoire par provision et que, à la date de l</w:t>
      </w:r>
      <w:r w:rsidR="004C62FA" w:rsidRPr="004C62FA">
        <w:t>’</w:t>
      </w:r>
      <w:r w:rsidRPr="004C62FA">
        <w:t>introduction de la requête, l</w:t>
      </w:r>
      <w:r w:rsidR="004C62FA" w:rsidRPr="004C62FA">
        <w:t>’</w:t>
      </w:r>
      <w:r w:rsidRPr="004C62FA">
        <w:t>affaire était pendante devant la cour d</w:t>
      </w:r>
      <w:r w:rsidR="004C62FA" w:rsidRPr="004C62FA">
        <w:t>’</w:t>
      </w:r>
      <w:r w:rsidRPr="004C62FA">
        <w:t>appel de Naples</w:t>
      </w:r>
      <w:bookmarkEnd w:id="14"/>
      <w:r w:rsidRPr="004C62FA">
        <w:t>. Il observe aussi qu</w:t>
      </w:r>
      <w:r w:rsidR="004C62FA" w:rsidRPr="004C62FA">
        <w:t>’</w:t>
      </w:r>
      <w:r w:rsidRPr="004C62FA">
        <w:t>il était loisible aux requérants de se prévaloir du recours prévu par l</w:t>
      </w:r>
      <w:r w:rsidR="004C62FA" w:rsidRPr="004C62FA">
        <w:t>’</w:t>
      </w:r>
      <w:r w:rsidRPr="004C62FA">
        <w:t>article 27-</w:t>
      </w:r>
      <w:r w:rsidRPr="004C62FA">
        <w:rPr>
          <w:i/>
          <w:iCs/>
        </w:rPr>
        <w:t>bis</w:t>
      </w:r>
      <w:r w:rsidRPr="004C62FA">
        <w:t xml:space="preserve"> du décret-loi n</w:t>
      </w:r>
      <w:r w:rsidRPr="004C62FA">
        <w:rPr>
          <w:vertAlign w:val="superscript"/>
        </w:rPr>
        <w:t>o</w:t>
      </w:r>
      <w:r w:rsidRPr="004C62FA">
        <w:t xml:space="preserve"> 90/2014. D</w:t>
      </w:r>
      <w:r w:rsidR="004C62FA" w:rsidRPr="004C62FA">
        <w:t>’</w:t>
      </w:r>
      <w:r w:rsidRPr="004C62FA">
        <w:t>après lui, la requête devrait donc être rejetée pour non-épuisement des voies de recours internes, au sens de l</w:t>
      </w:r>
      <w:r w:rsidR="004C62FA" w:rsidRPr="004C62FA">
        <w:t>’</w:t>
      </w:r>
      <w:r w:rsidRPr="004C62FA">
        <w:t>article 35 § 1 de la Convention.</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13</w:t>
      </w:r>
      <w:r w:rsidRPr="004C62FA">
        <w:fldChar w:fldCharType="end"/>
      </w:r>
      <w:r w:rsidRPr="004C62FA">
        <w:t>.  Les requérants font valoir que, si le jugement du tribunal de Naples était en effet exécutoire par provision, ils n</w:t>
      </w:r>
      <w:r w:rsidR="004C62FA" w:rsidRPr="004C62FA">
        <w:t>’</w:t>
      </w:r>
      <w:r w:rsidRPr="004C62FA">
        <w:t>auraient pas pu introduire valablement une demande visant à conclure un règlement amiable interne basée sur l</w:t>
      </w:r>
      <w:r w:rsidR="004C62FA" w:rsidRPr="004C62FA">
        <w:t>’</w:t>
      </w:r>
      <w:r w:rsidRPr="004C62FA">
        <w:t>article 27-</w:t>
      </w:r>
      <w:r w:rsidRPr="004C62FA">
        <w:rPr>
          <w:i/>
          <w:iCs/>
        </w:rPr>
        <w:t>bis</w:t>
      </w:r>
      <w:r w:rsidRPr="004C62FA">
        <w:t xml:space="preserve"> du décret-loi n</w:t>
      </w:r>
      <w:r w:rsidRPr="004C62FA">
        <w:rPr>
          <w:vertAlign w:val="superscript"/>
        </w:rPr>
        <w:t>o</w:t>
      </w:r>
      <w:r w:rsidRPr="004C62FA">
        <w:t> 90/2014 car, pour ce faire, il aurait fallu la présenter au plus tard le 19 janvier 2010, date à laquelle le lien de causalité entre la pathologie du premier requérant et ses transfusions sanguines n</w:t>
      </w:r>
      <w:r w:rsidR="004C62FA" w:rsidRPr="004C62FA">
        <w:t>’</w:t>
      </w:r>
      <w:r w:rsidRPr="004C62FA">
        <w:t>avait pas encore été établi.</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14</w:t>
      </w:r>
      <w:r w:rsidRPr="004C62FA">
        <w:fldChar w:fldCharType="end"/>
      </w:r>
      <w:r w:rsidRPr="004C62FA">
        <w:t>.  La Cour relève d</w:t>
      </w:r>
      <w:r w:rsidR="004C62FA" w:rsidRPr="004C62FA">
        <w:t>’</w:t>
      </w:r>
      <w:r w:rsidRPr="004C62FA">
        <w:t>emblée que le grief de durée excessive de la procédure n</w:t>
      </w:r>
      <w:r w:rsidR="004C62FA" w:rsidRPr="004C62FA">
        <w:t>’</w:t>
      </w:r>
      <w:r w:rsidRPr="004C62FA">
        <w:t>a pas été communiqué au gouvernement défendeur. Elle note en tout état de cause que les requérants ont omis d</w:t>
      </w:r>
      <w:r w:rsidR="004C62FA" w:rsidRPr="004C62FA">
        <w:t>’</w:t>
      </w:r>
      <w:r w:rsidRPr="004C62FA">
        <w:t xml:space="preserve">épuiser le recours prévu par la « loi Pinto » et décide, partant, de déclarer cette partie de la requête – notamment concernant la procédure sur le fond </w:t>
      </w:r>
      <w:r w:rsidR="00295462" w:rsidRPr="004C62FA">
        <w:t>– irr</w:t>
      </w:r>
      <w:r w:rsidRPr="004C62FA">
        <w:t>ecevable pour non-épuisement des voies de recours internes, au sens de l</w:t>
      </w:r>
      <w:r w:rsidR="004C62FA" w:rsidRPr="004C62FA">
        <w:t>’</w:t>
      </w:r>
      <w:r w:rsidRPr="004C62FA">
        <w:t>article 35 §§ 3 et 4 de la Convention.</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15</w:t>
      </w:r>
      <w:r w:rsidRPr="004C62FA">
        <w:fldChar w:fldCharType="end"/>
      </w:r>
      <w:r w:rsidRPr="004C62FA">
        <w:t>.  Quant au reste des griefs, la Cour considère d</w:t>
      </w:r>
      <w:r w:rsidR="004C62FA" w:rsidRPr="004C62FA">
        <w:t>’</w:t>
      </w:r>
      <w:r w:rsidRPr="004C62FA">
        <w:t>abord que le jugement rendu par le tribunal de Naples le 11 mars 2013 était exécutoire par provision, au sens de l</w:t>
      </w:r>
      <w:r w:rsidR="004C62FA" w:rsidRPr="004C62FA">
        <w:t>’</w:t>
      </w:r>
      <w:r w:rsidRPr="004C62FA">
        <w:t>article 282 du code de procédure civile. De plus, un arrêt de la cour d</w:t>
      </w:r>
      <w:r w:rsidR="004C62FA" w:rsidRPr="004C62FA">
        <w:t>’</w:t>
      </w:r>
      <w:r w:rsidRPr="004C62FA">
        <w:t>appel de Naples a été prononcé dans l</w:t>
      </w:r>
      <w:r w:rsidR="004C62FA" w:rsidRPr="004C62FA">
        <w:t>’</w:t>
      </w:r>
      <w:r w:rsidRPr="004C62FA">
        <w:t>intervalle, le 20 novembre 2018. Il ne ressort pas du dossier que cet arrêt ait été attaqué, de sorte qu</w:t>
      </w:r>
      <w:r w:rsidR="004C62FA" w:rsidRPr="004C62FA">
        <w:t>’</w:t>
      </w:r>
      <w:r w:rsidRPr="004C62FA">
        <w:t>il est devenu définitif.</w:t>
      </w:r>
    </w:p>
    <w:p w:rsidR="00E92177" w:rsidRPr="004C62FA" w:rsidRDefault="00E92177" w:rsidP="004C62FA">
      <w:pPr>
        <w:pStyle w:val="JuPara"/>
      </w:pPr>
      <w:r w:rsidRPr="004C62FA">
        <w:lastRenderedPageBreak/>
        <w:fldChar w:fldCharType="begin"/>
      </w:r>
      <w:r w:rsidRPr="004C62FA">
        <w:instrText xml:space="preserve"> SEQ level0 \*arabic </w:instrText>
      </w:r>
      <w:r w:rsidRPr="004C62FA">
        <w:fldChar w:fldCharType="separate"/>
      </w:r>
      <w:r w:rsidR="004C62FA" w:rsidRPr="004C62FA">
        <w:rPr>
          <w:noProof/>
        </w:rPr>
        <w:t>16</w:t>
      </w:r>
      <w:r w:rsidRPr="004C62FA">
        <w:fldChar w:fldCharType="end"/>
      </w:r>
      <w:r w:rsidRPr="004C62FA">
        <w:t>.  Pour ce qui est de l</w:t>
      </w:r>
      <w:r w:rsidR="004C62FA" w:rsidRPr="004C62FA">
        <w:t>’</w:t>
      </w:r>
      <w:r w:rsidRPr="004C62FA">
        <w:t>article 27-</w:t>
      </w:r>
      <w:r w:rsidRPr="004C62FA">
        <w:rPr>
          <w:i/>
          <w:iCs/>
        </w:rPr>
        <w:t>bis</w:t>
      </w:r>
      <w:r w:rsidRPr="004C62FA">
        <w:t xml:space="preserve"> du décret-loi n</w:t>
      </w:r>
      <w:r w:rsidRPr="004C62FA">
        <w:rPr>
          <w:vertAlign w:val="superscript"/>
        </w:rPr>
        <w:t>o</w:t>
      </w:r>
      <w:r w:rsidRPr="004C62FA">
        <w:t xml:space="preserve"> 90/2014, la Cour rappelle avoir conclu que ce dispositif est une voie de recours à épuiser lorsqu</w:t>
      </w:r>
      <w:r w:rsidR="004C62FA" w:rsidRPr="004C62FA">
        <w:t>’</w:t>
      </w:r>
      <w:r w:rsidRPr="004C62FA">
        <w:t>il est question de l</w:t>
      </w:r>
      <w:r w:rsidR="004C62FA" w:rsidRPr="004C62FA">
        <w:t>’</w:t>
      </w:r>
      <w:r w:rsidRPr="004C62FA">
        <w:t>impossibilité pour les requérants de transiger dans leurs litiges internes (</w:t>
      </w:r>
      <w:r w:rsidRPr="004C62FA">
        <w:rPr>
          <w:i/>
        </w:rPr>
        <w:t>D.A.</w:t>
      </w:r>
      <w:r w:rsidRPr="004C62FA">
        <w:t xml:space="preserve"> </w:t>
      </w:r>
      <w:r w:rsidRPr="004C62FA">
        <w:rPr>
          <w:i/>
        </w:rPr>
        <w:t>et autres c. Italie</w:t>
      </w:r>
      <w:r w:rsidRPr="004C62FA">
        <w:t>, n</w:t>
      </w:r>
      <w:r w:rsidRPr="004C62FA">
        <w:rPr>
          <w:vertAlign w:val="superscript"/>
        </w:rPr>
        <w:t>os</w:t>
      </w:r>
      <w:r w:rsidRPr="004C62FA">
        <w:t xml:space="preserve"> 68060/12 et 18 autres</w:t>
      </w:r>
      <w:r w:rsidRPr="004C62FA">
        <w:rPr>
          <w:snapToGrid w:val="0"/>
        </w:rPr>
        <w:t>, §§</w:t>
      </w:r>
      <w:r w:rsidR="00B84DA2" w:rsidRPr="004C62FA">
        <w:rPr>
          <w:snapToGrid w:val="0"/>
        </w:rPr>
        <w:t> </w:t>
      </w:r>
      <w:r w:rsidRPr="004C62FA">
        <w:rPr>
          <w:snapToGrid w:val="0"/>
        </w:rPr>
        <w:t xml:space="preserve">102-197, 14 </w:t>
      </w:r>
      <w:r w:rsidRPr="004C62FA">
        <w:t>janvier</w:t>
      </w:r>
      <w:r w:rsidRPr="004C62FA">
        <w:rPr>
          <w:snapToGrid w:val="0"/>
        </w:rPr>
        <w:t xml:space="preserve"> 2016). Or, dans la présente affaire, les requérants ne se plaignent pas tant de l</w:t>
      </w:r>
      <w:r w:rsidR="004C62FA" w:rsidRPr="004C62FA">
        <w:rPr>
          <w:snapToGrid w:val="0"/>
        </w:rPr>
        <w:t>’</w:t>
      </w:r>
      <w:r w:rsidRPr="004C62FA">
        <w:rPr>
          <w:snapToGrid w:val="0"/>
        </w:rPr>
        <w:t>impossibilité d</w:t>
      </w:r>
      <w:r w:rsidR="004C62FA" w:rsidRPr="004C62FA">
        <w:rPr>
          <w:snapToGrid w:val="0"/>
        </w:rPr>
        <w:t>’</w:t>
      </w:r>
      <w:r w:rsidRPr="004C62FA">
        <w:rPr>
          <w:snapToGrid w:val="0"/>
        </w:rPr>
        <w:t xml:space="preserve">accéder à un règlement amiable que de la non-exécution du jugement prononcé en leur faveur. </w:t>
      </w:r>
      <w:r w:rsidRPr="004C62FA">
        <w:t>Il s</w:t>
      </w:r>
      <w:r w:rsidR="004C62FA" w:rsidRPr="004C62FA">
        <w:t>’</w:t>
      </w:r>
      <w:r w:rsidRPr="004C62FA">
        <w:t>ensuit que l</w:t>
      </w:r>
      <w:r w:rsidR="004C62FA" w:rsidRPr="004C62FA">
        <w:t>’</w:t>
      </w:r>
      <w:r w:rsidRPr="004C62FA">
        <w:t>article 27-</w:t>
      </w:r>
      <w:r w:rsidRPr="004C62FA">
        <w:rPr>
          <w:i/>
          <w:iCs/>
        </w:rPr>
        <w:t>bis</w:t>
      </w:r>
      <w:r w:rsidRPr="004C62FA">
        <w:t xml:space="preserve"> du décret-loi n</w:t>
      </w:r>
      <w:r w:rsidRPr="004C62FA">
        <w:rPr>
          <w:vertAlign w:val="superscript"/>
        </w:rPr>
        <w:t>o</w:t>
      </w:r>
      <w:r w:rsidRPr="004C62FA">
        <w:t xml:space="preserve"> 90/2014 ne constitue pas en l</w:t>
      </w:r>
      <w:r w:rsidR="004C62FA" w:rsidRPr="004C62FA">
        <w:t>’</w:t>
      </w:r>
      <w:r w:rsidRPr="004C62FA">
        <w:t>espèce un recours que les requérants se devaient d</w:t>
      </w:r>
      <w:r w:rsidR="004C62FA" w:rsidRPr="004C62FA">
        <w:t>’</w:t>
      </w:r>
      <w:r w:rsidRPr="004C62FA">
        <w:t>épuiser.</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17</w:t>
      </w:r>
      <w:r w:rsidRPr="004C62FA">
        <w:fldChar w:fldCharType="end"/>
      </w:r>
      <w:r w:rsidRPr="004C62FA">
        <w:t>.  </w:t>
      </w:r>
      <w:bookmarkStart w:id="15" w:name="_Hlk36127606"/>
      <w:r w:rsidRPr="004C62FA">
        <w:t>Constatant que cette partie de la requête n</w:t>
      </w:r>
      <w:r w:rsidR="004C62FA" w:rsidRPr="004C62FA">
        <w:t>’</w:t>
      </w:r>
      <w:r w:rsidRPr="004C62FA">
        <w:t>est pas manifestement mal fondée ni irrecevable pour un autre motif visé à l</w:t>
      </w:r>
      <w:r w:rsidR="004C62FA" w:rsidRPr="004C62FA">
        <w:t>’</w:t>
      </w:r>
      <w:r w:rsidRPr="004C62FA">
        <w:t>article 35 de la Convention, la Cour la déclare recevable.</w:t>
      </w:r>
      <w:bookmarkEnd w:id="15"/>
    </w:p>
    <w:p w:rsidR="00E92177" w:rsidRPr="004C62FA" w:rsidRDefault="00E92177" w:rsidP="004C62FA">
      <w:pPr>
        <w:pStyle w:val="JuHA"/>
      </w:pPr>
      <w:bookmarkStart w:id="16" w:name="_Hlk36127650"/>
      <w:r w:rsidRPr="004C62FA">
        <w:t>Sur le fond</w:t>
      </w:r>
      <w:bookmarkEnd w:id="16"/>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18</w:t>
      </w:r>
      <w:r w:rsidRPr="004C62FA">
        <w:fldChar w:fldCharType="end"/>
      </w:r>
      <w:r w:rsidRPr="004C62FA">
        <w:t>.  Les requérants s</w:t>
      </w:r>
      <w:r w:rsidR="004C62FA" w:rsidRPr="004C62FA">
        <w:t>’</w:t>
      </w:r>
      <w:r w:rsidRPr="004C62FA">
        <w:t>en tiennent à leurs griefs.</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19</w:t>
      </w:r>
      <w:r w:rsidRPr="004C62FA">
        <w:fldChar w:fldCharType="end"/>
      </w:r>
      <w:r w:rsidRPr="004C62FA">
        <w:t>.  Le Gouvernement estime qu</w:t>
      </w:r>
      <w:r w:rsidR="004C62FA" w:rsidRPr="004C62FA">
        <w:t>’</w:t>
      </w:r>
      <w:r w:rsidRPr="004C62FA">
        <w:t>il n</w:t>
      </w:r>
      <w:r w:rsidR="004C62FA" w:rsidRPr="004C62FA">
        <w:t>’</w:t>
      </w:r>
      <w:r w:rsidRPr="004C62FA">
        <w:t>y a eu aucune violation des articles invoqués par les requérants.</w:t>
      </w:r>
    </w:p>
    <w:p w:rsidR="00E92177" w:rsidRPr="004C62FA" w:rsidRDefault="00E92177" w:rsidP="004C62FA">
      <w:pPr>
        <w:pStyle w:val="JuPara"/>
        <w:rPr>
          <w:iCs/>
        </w:rPr>
      </w:pPr>
      <w:r w:rsidRPr="004C62FA">
        <w:fldChar w:fldCharType="begin"/>
      </w:r>
      <w:r w:rsidRPr="004C62FA">
        <w:instrText xml:space="preserve"> SEQ level0 \*arabic </w:instrText>
      </w:r>
      <w:r w:rsidRPr="004C62FA">
        <w:fldChar w:fldCharType="separate"/>
      </w:r>
      <w:r w:rsidR="004C62FA" w:rsidRPr="004C62FA">
        <w:rPr>
          <w:noProof/>
        </w:rPr>
        <w:t>20</w:t>
      </w:r>
      <w:r w:rsidRPr="004C62FA">
        <w:fldChar w:fldCharType="end"/>
      </w:r>
      <w:r w:rsidRPr="004C62FA">
        <w:t xml:space="preserve">.  La Cour rappelle les principes développés dans son arrêt </w:t>
      </w:r>
      <w:r w:rsidRPr="004C62FA">
        <w:rPr>
          <w:i/>
        </w:rPr>
        <w:t>D.A.</w:t>
      </w:r>
      <w:r w:rsidRPr="004C62FA">
        <w:t xml:space="preserve"> </w:t>
      </w:r>
      <w:r w:rsidRPr="004C62FA">
        <w:rPr>
          <w:i/>
        </w:rPr>
        <w:t>et autres</w:t>
      </w:r>
      <w:r w:rsidRPr="004C62FA">
        <w:rPr>
          <w:iCs/>
        </w:rPr>
        <w:t xml:space="preserve"> </w:t>
      </w:r>
      <w:r w:rsidRPr="004C62FA">
        <w:rPr>
          <w:i/>
        </w:rPr>
        <w:t>c. Italie</w:t>
      </w:r>
      <w:r w:rsidRPr="004C62FA">
        <w:rPr>
          <w:iCs/>
        </w:rPr>
        <w:t xml:space="preserve"> (précité, §§ 60-79).</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21</w:t>
      </w:r>
      <w:r w:rsidRPr="004C62FA">
        <w:fldChar w:fldCharType="end"/>
      </w:r>
      <w:r w:rsidRPr="004C62FA">
        <w:t>.  Pour ce qui est de la violation alléguée de l</w:t>
      </w:r>
      <w:r w:rsidR="004C62FA" w:rsidRPr="004C62FA">
        <w:t>’</w:t>
      </w:r>
      <w:r w:rsidRPr="004C62FA">
        <w:t>article 6 § 1 de la Convention, la Cour constate que, par son jugement du 11 mars 2013, le tribunal de Naples a fait droit à la demande d</w:t>
      </w:r>
      <w:r w:rsidR="004C62FA" w:rsidRPr="004C62FA">
        <w:t>’</w:t>
      </w:r>
      <w:r w:rsidRPr="004C62FA">
        <w:t>indemnisation des requérants pour l</w:t>
      </w:r>
      <w:r w:rsidR="004C62FA" w:rsidRPr="004C62FA">
        <w:t>’</w:t>
      </w:r>
      <w:r w:rsidRPr="004C62FA">
        <w:t>infection post-transfusionnelle du premier requérant. Ce jugement, exécutoire par provision, a été confirmé par un arrêt de la cour d</w:t>
      </w:r>
      <w:r w:rsidR="004C62FA" w:rsidRPr="004C62FA">
        <w:t>’</w:t>
      </w:r>
      <w:r w:rsidRPr="004C62FA">
        <w:t>appel de Naples du 20 novembre 2018.</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22</w:t>
      </w:r>
      <w:r w:rsidRPr="004C62FA">
        <w:fldChar w:fldCharType="end"/>
      </w:r>
      <w:r w:rsidRPr="004C62FA">
        <w:t>.  La Cour estime que les requérants n</w:t>
      </w:r>
      <w:r w:rsidR="004C62FA" w:rsidRPr="004C62FA">
        <w:t>’</w:t>
      </w:r>
      <w:r w:rsidRPr="004C62FA">
        <w:t>auraient pas dû se trouver dans l</w:t>
      </w:r>
      <w:r w:rsidR="004C62FA" w:rsidRPr="004C62FA">
        <w:t>’</w:t>
      </w:r>
      <w:r w:rsidRPr="004C62FA">
        <w:t>impossibilité de faire exécuter une décision rendue en leur faveur, d</w:t>
      </w:r>
      <w:r w:rsidR="004C62FA" w:rsidRPr="004C62FA">
        <w:t>’</w:t>
      </w:r>
      <w:r w:rsidRPr="004C62FA">
        <w:t>autant plus qu</w:t>
      </w:r>
      <w:r w:rsidR="004C62FA" w:rsidRPr="004C62FA">
        <w:t>’</w:t>
      </w:r>
      <w:r w:rsidRPr="004C62FA">
        <w:t>il s</w:t>
      </w:r>
      <w:r w:rsidR="004C62FA" w:rsidRPr="004C62FA">
        <w:t>’</w:t>
      </w:r>
      <w:r w:rsidRPr="004C62FA">
        <w:t>agissait, en l</w:t>
      </w:r>
      <w:r w:rsidR="004C62FA" w:rsidRPr="004C62FA">
        <w:t>’</w:t>
      </w:r>
      <w:r w:rsidRPr="004C62FA">
        <w:t>espèce, d</w:t>
      </w:r>
      <w:r w:rsidR="004C62FA" w:rsidRPr="004C62FA">
        <w:t>’</w:t>
      </w:r>
      <w:r w:rsidRPr="004C62FA">
        <w:t>une matière délicate touchant au domaine de la santé.</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23</w:t>
      </w:r>
      <w:r w:rsidRPr="004C62FA">
        <w:fldChar w:fldCharType="end"/>
      </w:r>
      <w:r w:rsidRPr="004C62FA">
        <w:t>.  Partant, s</w:t>
      </w:r>
      <w:r w:rsidR="004C62FA" w:rsidRPr="004C62FA">
        <w:t>’</w:t>
      </w:r>
      <w:r w:rsidRPr="004C62FA">
        <w:t>agissant du grief portant sur le manque d</w:t>
      </w:r>
      <w:r w:rsidR="004C62FA" w:rsidRPr="004C62FA">
        <w:t>’</w:t>
      </w:r>
      <w:r w:rsidRPr="004C62FA">
        <w:t xml:space="preserve">accès à un tribunal (voir </w:t>
      </w:r>
      <w:r w:rsidRPr="004C62FA">
        <w:rPr>
          <w:i/>
        </w:rPr>
        <w:t>D.A.</w:t>
      </w:r>
      <w:r w:rsidRPr="004C62FA">
        <w:t xml:space="preserve"> </w:t>
      </w:r>
      <w:r w:rsidRPr="004C62FA">
        <w:rPr>
          <w:i/>
        </w:rPr>
        <w:t>et autres</w:t>
      </w:r>
      <w:r w:rsidRPr="004C62FA">
        <w:rPr>
          <w:iCs/>
        </w:rPr>
        <w:t xml:space="preserve"> </w:t>
      </w:r>
      <w:r w:rsidRPr="004C62FA">
        <w:rPr>
          <w:i/>
        </w:rPr>
        <w:t>c. Italie</w:t>
      </w:r>
      <w:r w:rsidRPr="004C62FA">
        <w:rPr>
          <w:iCs/>
        </w:rPr>
        <w:t>, précité, §§ 60-69)</w:t>
      </w:r>
      <w:r w:rsidRPr="004C62FA">
        <w:t>, il y a eu de conclure à violation de l</w:t>
      </w:r>
      <w:r w:rsidR="004C62FA" w:rsidRPr="004C62FA">
        <w:t>’</w:t>
      </w:r>
      <w:r w:rsidRPr="004C62FA">
        <w:t>article 6 § 1 de la Convention.</w:t>
      </w:r>
    </w:p>
    <w:p w:rsidR="00E92177" w:rsidRPr="004C62FA" w:rsidRDefault="00E92177" w:rsidP="004C62FA">
      <w:pPr>
        <w:pStyle w:val="JuPara"/>
      </w:pPr>
      <w:r w:rsidRPr="004C62FA">
        <w:rPr>
          <w:iCs/>
        </w:rPr>
        <w:fldChar w:fldCharType="begin"/>
      </w:r>
      <w:r w:rsidRPr="004C62FA">
        <w:rPr>
          <w:iCs/>
        </w:rPr>
        <w:instrText xml:space="preserve"> SEQ level0 \*arabic </w:instrText>
      </w:r>
      <w:r w:rsidRPr="004C62FA">
        <w:rPr>
          <w:iCs/>
        </w:rPr>
        <w:fldChar w:fldCharType="separate"/>
      </w:r>
      <w:r w:rsidR="004C62FA" w:rsidRPr="004C62FA">
        <w:rPr>
          <w:iCs/>
          <w:noProof/>
        </w:rPr>
        <w:t>24</w:t>
      </w:r>
      <w:r w:rsidRPr="004C62FA">
        <w:rPr>
          <w:iCs/>
        </w:rPr>
        <w:fldChar w:fldCharType="end"/>
      </w:r>
      <w:r w:rsidRPr="004C62FA">
        <w:rPr>
          <w:iCs/>
        </w:rPr>
        <w:t>.  Quant à la violation alléguée de l</w:t>
      </w:r>
      <w:r w:rsidR="004C62FA" w:rsidRPr="004C62FA">
        <w:rPr>
          <w:iCs/>
        </w:rPr>
        <w:t>’</w:t>
      </w:r>
      <w:r w:rsidRPr="004C62FA">
        <w:rPr>
          <w:iCs/>
        </w:rPr>
        <w:t>article 1 du Protocole n</w:t>
      </w:r>
      <w:r w:rsidRPr="004C62FA">
        <w:rPr>
          <w:iCs/>
          <w:vertAlign w:val="superscript"/>
        </w:rPr>
        <w:t>o</w:t>
      </w:r>
      <w:r w:rsidRPr="004C62FA">
        <w:rPr>
          <w:iCs/>
        </w:rPr>
        <w:t xml:space="preserve"> 1 à la Convention, la Cour estime que l</w:t>
      </w:r>
      <w:r w:rsidRPr="004C62FA">
        <w:t>es requérants étaient titulaires de créances exigibles en vertu d</w:t>
      </w:r>
      <w:r w:rsidR="004C62FA" w:rsidRPr="004C62FA">
        <w:t>’</w:t>
      </w:r>
      <w:r w:rsidRPr="004C62FA">
        <w:t>un jugement, devenu depuis lors définitif, quantifiant la somme à laquelle ils avaient droit. Il s</w:t>
      </w:r>
      <w:r w:rsidR="004C62FA" w:rsidRPr="004C62FA">
        <w:t>’</w:t>
      </w:r>
      <w:r w:rsidRPr="004C62FA">
        <w:t>ensuit que l</w:t>
      </w:r>
      <w:r w:rsidR="004C62FA" w:rsidRPr="004C62FA">
        <w:t>’</w:t>
      </w:r>
      <w:r w:rsidRPr="004C62FA">
        <w:t>impossibilité pour eux d</w:t>
      </w:r>
      <w:r w:rsidR="004C62FA" w:rsidRPr="004C62FA">
        <w:t>’</w:t>
      </w:r>
      <w:r w:rsidRPr="004C62FA">
        <w:t>obtenir l</w:t>
      </w:r>
      <w:r w:rsidR="004C62FA" w:rsidRPr="004C62FA">
        <w:t>’</w:t>
      </w:r>
      <w:r w:rsidRPr="004C62FA">
        <w:t>exécution de ce jugement a constitué une atteinte à leur droit au respect de leurs biens, tel qu</w:t>
      </w:r>
      <w:r w:rsidR="004C62FA" w:rsidRPr="004C62FA">
        <w:t>’</w:t>
      </w:r>
      <w:r w:rsidRPr="004C62FA">
        <w:t>énoncé dans la première phrase du premier paragraphe de l</w:t>
      </w:r>
      <w:r w:rsidR="004C62FA" w:rsidRPr="004C62FA">
        <w:t>’</w:t>
      </w:r>
      <w:r w:rsidRPr="004C62FA">
        <w:t>article 1 du Protocole n</w:t>
      </w:r>
      <w:r w:rsidRPr="004C62FA">
        <w:rPr>
          <w:vertAlign w:val="superscript"/>
        </w:rPr>
        <w:t>o</w:t>
      </w:r>
      <w:r w:rsidRPr="004C62FA">
        <w:t xml:space="preserve"> 1.</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25</w:t>
      </w:r>
      <w:r w:rsidRPr="004C62FA">
        <w:fldChar w:fldCharType="end"/>
      </w:r>
      <w:r w:rsidRPr="004C62FA">
        <w:t>.  En méconnaissant les décisions mentionnées ci-dessus, les autorités nationales ont empêché les requérants de recevoir les montants qu</w:t>
      </w:r>
      <w:r w:rsidR="004C62FA" w:rsidRPr="004C62FA">
        <w:t>’</w:t>
      </w:r>
      <w:r w:rsidRPr="004C62FA">
        <w:t>ils pouvaient raisonnablement s</w:t>
      </w:r>
      <w:r w:rsidR="004C62FA" w:rsidRPr="004C62FA">
        <w:t>’</w:t>
      </w:r>
      <w:r w:rsidRPr="004C62FA">
        <w:t>attendre à obtenir à la suite de la décision leur reconnaissant un droit à indemnisation. Le Gouvernement n</w:t>
      </w:r>
      <w:r w:rsidR="004C62FA" w:rsidRPr="004C62FA">
        <w:t>’</w:t>
      </w:r>
      <w:r w:rsidRPr="004C62FA">
        <w:t xml:space="preserve">a fourni aucun </w:t>
      </w:r>
      <w:r w:rsidRPr="004C62FA">
        <w:lastRenderedPageBreak/>
        <w:t xml:space="preserve">argument de nature à justifier cette ingérence (voir </w:t>
      </w:r>
      <w:proofErr w:type="spellStart"/>
      <w:r w:rsidRPr="004C62FA">
        <w:rPr>
          <w:i/>
          <w:iCs/>
        </w:rPr>
        <w:t>Bourdov</w:t>
      </w:r>
      <w:proofErr w:type="spellEnd"/>
      <w:r w:rsidRPr="004C62FA">
        <w:rPr>
          <w:i/>
          <w:iCs/>
        </w:rPr>
        <w:t xml:space="preserve"> c. Russie</w:t>
      </w:r>
      <w:r w:rsidRPr="004C62FA">
        <w:t>, n</w:t>
      </w:r>
      <w:r w:rsidRPr="004C62FA">
        <w:rPr>
          <w:vertAlign w:val="superscript"/>
        </w:rPr>
        <w:t>o</w:t>
      </w:r>
      <w:r w:rsidRPr="004C62FA">
        <w:t> </w:t>
      </w:r>
      <w:r w:rsidR="00295462" w:rsidRPr="004C62FA">
        <w:t xml:space="preserve">59498/00, </w:t>
      </w:r>
      <w:r w:rsidRPr="004C62FA">
        <w:t>§ 39-42, CEDH 2002</w:t>
      </w:r>
      <w:r w:rsidRPr="004C62FA">
        <w:noBreakHyphen/>
        <w:t xml:space="preserve">III et, </w:t>
      </w:r>
      <w:r w:rsidRPr="004C62FA">
        <w:rPr>
          <w:i/>
          <w:iCs/>
        </w:rPr>
        <w:t>mutatis mutandis</w:t>
      </w:r>
      <w:r w:rsidRPr="004C62FA">
        <w:t xml:space="preserve">, </w:t>
      </w:r>
      <w:proofErr w:type="spellStart"/>
      <w:r w:rsidRPr="004C62FA">
        <w:rPr>
          <w:i/>
          <w:iCs/>
        </w:rPr>
        <w:t>Ambruosi</w:t>
      </w:r>
      <w:proofErr w:type="spellEnd"/>
      <w:r w:rsidRPr="004C62FA">
        <w:rPr>
          <w:i/>
          <w:iCs/>
        </w:rPr>
        <w:t xml:space="preserve"> c.</w:t>
      </w:r>
      <w:r w:rsidR="002D6655" w:rsidRPr="004C62FA">
        <w:rPr>
          <w:i/>
          <w:iCs/>
        </w:rPr>
        <w:t> </w:t>
      </w:r>
      <w:r w:rsidRPr="004C62FA">
        <w:rPr>
          <w:i/>
          <w:iCs/>
        </w:rPr>
        <w:t>Italie</w:t>
      </w:r>
      <w:r w:rsidRPr="004C62FA">
        <w:t>, n</w:t>
      </w:r>
      <w:r w:rsidRPr="004C62FA">
        <w:rPr>
          <w:vertAlign w:val="superscript"/>
        </w:rPr>
        <w:t>o</w:t>
      </w:r>
      <w:r w:rsidRPr="004C62FA">
        <w:t xml:space="preserve"> </w:t>
      </w:r>
      <w:hyperlink r:id="rId17" w:anchor="%7B%22appno%22:%5B%2231227/96%22%5D%7D" w:tgtFrame="_blank" w:history="1">
        <w:r w:rsidRPr="004C62FA">
          <w:t>31227/96</w:t>
        </w:r>
      </w:hyperlink>
      <w:r w:rsidRPr="004C62FA">
        <w:t>, §§ 28-34, 19 octobre 2000).</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26</w:t>
      </w:r>
      <w:r w:rsidRPr="004C62FA">
        <w:fldChar w:fldCharType="end"/>
      </w:r>
      <w:r w:rsidRPr="004C62FA">
        <w:t>.  En conclusion, il y a également eu violation de l</w:t>
      </w:r>
      <w:r w:rsidR="004C62FA" w:rsidRPr="004C62FA">
        <w:t>’</w:t>
      </w:r>
      <w:r w:rsidRPr="004C62FA">
        <w:t>article 1 du Protocole n</w:t>
      </w:r>
      <w:r w:rsidRPr="004C62FA">
        <w:rPr>
          <w:vertAlign w:val="superscript"/>
        </w:rPr>
        <w:t>o</w:t>
      </w:r>
      <w:r w:rsidRPr="004C62FA">
        <w:t xml:space="preserve"> 1.</w:t>
      </w:r>
    </w:p>
    <w:p w:rsidR="00E92177" w:rsidRPr="004C62FA" w:rsidRDefault="00E92177" w:rsidP="004C62FA">
      <w:pPr>
        <w:pStyle w:val="JuPara"/>
      </w:pPr>
      <w:r w:rsidRPr="004C62FA">
        <w:rPr>
          <w:iCs/>
        </w:rPr>
        <w:fldChar w:fldCharType="begin"/>
      </w:r>
      <w:r w:rsidRPr="004C62FA">
        <w:rPr>
          <w:iCs/>
        </w:rPr>
        <w:instrText xml:space="preserve"> SEQ level0 \*arabic </w:instrText>
      </w:r>
      <w:r w:rsidRPr="004C62FA">
        <w:rPr>
          <w:iCs/>
        </w:rPr>
        <w:fldChar w:fldCharType="separate"/>
      </w:r>
      <w:r w:rsidR="004C62FA" w:rsidRPr="004C62FA">
        <w:rPr>
          <w:iCs/>
          <w:noProof/>
        </w:rPr>
        <w:t>27</w:t>
      </w:r>
      <w:r w:rsidRPr="004C62FA">
        <w:rPr>
          <w:iCs/>
        </w:rPr>
        <w:fldChar w:fldCharType="end"/>
      </w:r>
      <w:r w:rsidRPr="004C62FA">
        <w:rPr>
          <w:iCs/>
        </w:rPr>
        <w:t>.  Enfin, en ce qui concerne le grief tiré de l</w:t>
      </w:r>
      <w:r w:rsidR="004C62FA" w:rsidRPr="004C62FA">
        <w:rPr>
          <w:iCs/>
        </w:rPr>
        <w:t>’</w:t>
      </w:r>
      <w:r w:rsidRPr="004C62FA">
        <w:rPr>
          <w:iCs/>
        </w:rPr>
        <w:t xml:space="preserve">article 13 de la Convention, la Cour considère que </w:t>
      </w:r>
      <w:r w:rsidRPr="004C62FA">
        <w:t>les requérants ne disposaient pas, pour se plaindre de la violation de l</w:t>
      </w:r>
      <w:r w:rsidR="004C62FA" w:rsidRPr="004C62FA">
        <w:t>’</w:t>
      </w:r>
      <w:r w:rsidRPr="004C62FA">
        <w:t>article 6 § 1 de la Convention et de l</w:t>
      </w:r>
      <w:r w:rsidR="004C62FA" w:rsidRPr="004C62FA">
        <w:t>’</w:t>
      </w:r>
      <w:r w:rsidRPr="004C62FA">
        <w:t>article 1 du Protocole n</w:t>
      </w:r>
      <w:r w:rsidRPr="004C62FA">
        <w:rPr>
          <w:vertAlign w:val="superscript"/>
        </w:rPr>
        <w:t>o</w:t>
      </w:r>
      <w:r w:rsidRPr="004C62FA">
        <w:t xml:space="preserve"> 1 à la Convention, du recours effectif qu</w:t>
      </w:r>
      <w:r w:rsidR="004C62FA" w:rsidRPr="004C62FA">
        <w:t>’</w:t>
      </w:r>
      <w:r w:rsidRPr="004C62FA">
        <w:t>exigeait l</w:t>
      </w:r>
      <w:r w:rsidR="004C62FA" w:rsidRPr="004C62FA">
        <w:t>’</w:t>
      </w:r>
      <w:r w:rsidRPr="004C62FA">
        <w:t>article 13 de la Convention (voir, parmi beaucoup d</w:t>
      </w:r>
      <w:r w:rsidR="004C62FA" w:rsidRPr="004C62FA">
        <w:t>’</w:t>
      </w:r>
      <w:r w:rsidRPr="004C62FA">
        <w:t xml:space="preserve">autres, </w:t>
      </w:r>
      <w:proofErr w:type="spellStart"/>
      <w:r w:rsidRPr="004C62FA">
        <w:rPr>
          <w:i/>
          <w:iCs/>
        </w:rPr>
        <w:t>Bourdov</w:t>
      </w:r>
      <w:proofErr w:type="spellEnd"/>
      <w:r w:rsidRPr="004C62FA">
        <w:rPr>
          <w:i/>
          <w:iCs/>
        </w:rPr>
        <w:t xml:space="preserve"> c.</w:t>
      </w:r>
      <w:r w:rsidR="00295462" w:rsidRPr="004C62FA">
        <w:rPr>
          <w:i/>
          <w:iCs/>
        </w:rPr>
        <w:t xml:space="preserve"> </w:t>
      </w:r>
      <w:r w:rsidRPr="004C62FA">
        <w:rPr>
          <w:i/>
          <w:iCs/>
        </w:rPr>
        <w:t>Russie</w:t>
      </w:r>
      <w:r w:rsidRPr="004C62FA">
        <w:t xml:space="preserve"> (n</w:t>
      </w:r>
      <w:r w:rsidRPr="004C62FA">
        <w:rPr>
          <w:vertAlign w:val="superscript"/>
        </w:rPr>
        <w:t>o</w:t>
      </w:r>
      <w:r w:rsidRPr="004C62FA">
        <w:t xml:space="preserve"> 2), n</w:t>
      </w:r>
      <w:r w:rsidRPr="004C62FA">
        <w:rPr>
          <w:vertAlign w:val="superscript"/>
        </w:rPr>
        <w:t>o</w:t>
      </w:r>
      <w:r w:rsidR="00295462" w:rsidRPr="004C62FA">
        <w:t> 33509/04,</w:t>
      </w:r>
      <w:r w:rsidRPr="004C62FA">
        <w:t xml:space="preserve"> §§ 96-100, CEDH 2009, et </w:t>
      </w:r>
      <w:proofErr w:type="spellStart"/>
      <w:r w:rsidRPr="004C62FA">
        <w:rPr>
          <w:i/>
          <w:iCs/>
        </w:rPr>
        <w:t>Romachov</w:t>
      </w:r>
      <w:proofErr w:type="spellEnd"/>
      <w:r w:rsidRPr="004C62FA">
        <w:rPr>
          <w:i/>
          <w:iCs/>
        </w:rPr>
        <w:t xml:space="preserve"> c.</w:t>
      </w:r>
      <w:r w:rsidR="00295462" w:rsidRPr="004C62FA">
        <w:rPr>
          <w:i/>
          <w:iCs/>
        </w:rPr>
        <w:t xml:space="preserve"> </w:t>
      </w:r>
      <w:r w:rsidRPr="004C62FA">
        <w:rPr>
          <w:i/>
          <w:iCs/>
        </w:rPr>
        <w:t>Ukraine</w:t>
      </w:r>
      <w:r w:rsidRPr="004C62FA">
        <w:t>, n</w:t>
      </w:r>
      <w:r w:rsidRPr="004C62FA">
        <w:rPr>
          <w:vertAlign w:val="superscript"/>
        </w:rPr>
        <w:t>o</w:t>
      </w:r>
      <w:r w:rsidR="00295462" w:rsidRPr="004C62FA">
        <w:t xml:space="preserve"> 67534/01, </w:t>
      </w:r>
      <w:r w:rsidRPr="004C62FA">
        <w:t>§ 47, 27 juillet 2004).</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28</w:t>
      </w:r>
      <w:r w:rsidRPr="004C62FA">
        <w:fldChar w:fldCharType="end"/>
      </w:r>
      <w:r w:rsidRPr="004C62FA">
        <w:t>.  Il y a donc lieu de conclure que cette disposition a été méconnue en l</w:t>
      </w:r>
      <w:r w:rsidR="004C62FA" w:rsidRPr="004C62FA">
        <w:t>’</w:t>
      </w:r>
      <w:r w:rsidRPr="004C62FA">
        <w:t>espèce.</w:t>
      </w:r>
    </w:p>
    <w:p w:rsidR="00E92177" w:rsidRPr="004C62FA" w:rsidRDefault="00E92177" w:rsidP="004C62FA">
      <w:pPr>
        <w:pStyle w:val="JuHIRoman"/>
      </w:pPr>
      <w:r w:rsidRPr="004C62FA">
        <w:t>SUR L</w:t>
      </w:r>
      <w:r w:rsidR="004C62FA" w:rsidRPr="004C62FA">
        <w:t>’</w:t>
      </w:r>
      <w:r w:rsidRPr="004C62FA">
        <w:t>APPLICATION DE L</w:t>
      </w:r>
      <w:r w:rsidR="004C62FA" w:rsidRPr="004C62FA">
        <w:t>’</w:t>
      </w:r>
      <w:r w:rsidRPr="004C62FA">
        <w:t>ARTICLE 41 DE LA CONVENTION</w:t>
      </w:r>
    </w:p>
    <w:p w:rsidR="00E92177" w:rsidRPr="004C62FA" w:rsidRDefault="00E92177" w:rsidP="004C62FA">
      <w:pPr>
        <w:pStyle w:val="JuPara"/>
        <w:numPr>
          <w:ilvl w:val="0"/>
          <w:numId w:val="1"/>
        </w:numPr>
        <w:ind w:firstLine="284"/>
      </w:pPr>
      <w:r w:rsidRPr="004C62FA">
        <w:fldChar w:fldCharType="begin"/>
      </w:r>
      <w:r w:rsidRPr="004C62FA">
        <w:instrText xml:space="preserve"> SEQ level0 \*arabic </w:instrText>
      </w:r>
      <w:r w:rsidRPr="004C62FA">
        <w:fldChar w:fldCharType="separate"/>
      </w:r>
      <w:r w:rsidR="004C62FA" w:rsidRPr="004C62FA">
        <w:rPr>
          <w:noProof/>
        </w:rPr>
        <w:t>29</w:t>
      </w:r>
      <w:r w:rsidRPr="004C62FA">
        <w:fldChar w:fldCharType="end"/>
      </w:r>
      <w:r w:rsidRPr="004C62FA">
        <w:t>.  </w:t>
      </w:r>
      <w:bookmarkStart w:id="17" w:name="_Hlk36128236"/>
      <w:r w:rsidRPr="004C62FA">
        <w:t>Aux termes de l</w:t>
      </w:r>
      <w:r w:rsidR="004C62FA" w:rsidRPr="004C62FA">
        <w:t>’</w:t>
      </w:r>
      <w:r w:rsidRPr="004C62FA">
        <w:t>article 41 de la Convention :</w:t>
      </w:r>
      <w:bookmarkEnd w:id="17"/>
    </w:p>
    <w:p w:rsidR="00E92177" w:rsidRPr="004C62FA" w:rsidRDefault="00E92177" w:rsidP="004C62FA">
      <w:pPr>
        <w:pStyle w:val="JuQuot"/>
        <w:numPr>
          <w:ilvl w:val="0"/>
          <w:numId w:val="1"/>
        </w:numPr>
      </w:pPr>
      <w:bookmarkStart w:id="18" w:name="_Hlk36128242"/>
      <w:r w:rsidRPr="004C62FA">
        <w:t>« Si la Cour déclare qu</w:t>
      </w:r>
      <w:r w:rsidR="004C62FA" w:rsidRPr="004C62FA">
        <w:t>’</w:t>
      </w:r>
      <w:r w:rsidRPr="004C62FA">
        <w:t>il y a eu violation de la Convention ou de ses Protocoles, et si le droit interne de la Haute Partie contractante ne permet d</w:t>
      </w:r>
      <w:r w:rsidR="004C62FA" w:rsidRPr="004C62FA">
        <w:t>’</w:t>
      </w:r>
      <w:r w:rsidRPr="004C62FA">
        <w:t>effacer qu</w:t>
      </w:r>
      <w:r w:rsidR="004C62FA" w:rsidRPr="004C62FA">
        <w:t>’</w:t>
      </w:r>
      <w:r w:rsidRPr="004C62FA">
        <w:t>imparfaitement les conséquences de cette violation, la Cour accorde à la partie lésée, s</w:t>
      </w:r>
      <w:r w:rsidR="004C62FA" w:rsidRPr="004C62FA">
        <w:t>’</w:t>
      </w:r>
      <w:r w:rsidRPr="004C62FA">
        <w:t>il y a lieu, une satisfaction équitable. »</w:t>
      </w:r>
      <w:bookmarkEnd w:id="18"/>
    </w:p>
    <w:p w:rsidR="00E92177" w:rsidRPr="004C62FA" w:rsidRDefault="00E92177" w:rsidP="004C62FA">
      <w:pPr>
        <w:pStyle w:val="JuHA"/>
      </w:pPr>
      <w:r w:rsidRPr="004C62FA">
        <w:t>Dommage</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30</w:t>
      </w:r>
      <w:r w:rsidRPr="004C62FA">
        <w:fldChar w:fldCharType="end"/>
      </w:r>
      <w:r w:rsidRPr="004C62FA">
        <w:t>.  Au titre du dommage matériel, les requérants demandent 101 151,88</w:t>
      </w:r>
      <w:r w:rsidR="002D6655" w:rsidRPr="004C62FA">
        <w:t> </w:t>
      </w:r>
      <w:r w:rsidRPr="004C62FA">
        <w:t>EUR pour le premier requérant et 12 508,44 EUR pour la deuxième requérante. Ils demandent également 10 000 EUR, conjointement, au titre du dommage moral.</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31</w:t>
      </w:r>
      <w:r w:rsidRPr="004C62FA">
        <w:fldChar w:fldCharType="end"/>
      </w:r>
      <w:r w:rsidRPr="004C62FA">
        <w:t>.  Le Gouvernement ne présente pas d</w:t>
      </w:r>
      <w:r w:rsidR="004C62FA" w:rsidRPr="004C62FA">
        <w:t>’</w:t>
      </w:r>
      <w:r w:rsidRPr="004C62FA">
        <w:t>observations sur ce point.</w:t>
      </w:r>
    </w:p>
    <w:p w:rsidR="00E92177" w:rsidRPr="004C62FA" w:rsidRDefault="00E92177" w:rsidP="004C62FA">
      <w:pPr>
        <w:pStyle w:val="JuPara"/>
        <w:numPr>
          <w:ilvl w:val="0"/>
          <w:numId w:val="1"/>
        </w:numPr>
        <w:ind w:firstLine="284"/>
      </w:pPr>
      <w:r w:rsidRPr="004C62FA">
        <w:fldChar w:fldCharType="begin"/>
      </w:r>
      <w:r w:rsidRPr="004C62FA">
        <w:instrText xml:space="preserve"> SEQ level0 \*arabic </w:instrText>
      </w:r>
      <w:r w:rsidRPr="004C62FA">
        <w:fldChar w:fldCharType="separate"/>
      </w:r>
      <w:r w:rsidR="004C62FA" w:rsidRPr="004C62FA">
        <w:rPr>
          <w:noProof/>
        </w:rPr>
        <w:t>32</w:t>
      </w:r>
      <w:r w:rsidRPr="004C62FA">
        <w:fldChar w:fldCharType="end"/>
      </w:r>
      <w:r w:rsidRPr="004C62FA">
        <w:t>.  La Cour octroie :</w:t>
      </w:r>
    </w:p>
    <w:p w:rsidR="00E92177" w:rsidRPr="004C62FA" w:rsidRDefault="00E92177" w:rsidP="004C62FA">
      <w:pPr>
        <w:pStyle w:val="JuPara"/>
        <w:numPr>
          <w:ilvl w:val="0"/>
          <w:numId w:val="1"/>
        </w:numPr>
        <w:ind w:firstLine="284"/>
      </w:pPr>
      <w:r w:rsidRPr="004C62FA">
        <w:t>- 101</w:t>
      </w:r>
      <w:bookmarkStart w:id="19" w:name="_Hlk74239715"/>
      <w:r w:rsidRPr="004C62FA">
        <w:t> </w:t>
      </w:r>
      <w:bookmarkEnd w:id="19"/>
      <w:r w:rsidRPr="004C62FA">
        <w:t>151,88 EUR au premier requérant, plus tout montant pouvant être dû sur cette somme à titre d</w:t>
      </w:r>
      <w:r w:rsidR="004C62FA" w:rsidRPr="004C62FA">
        <w:t>’</w:t>
      </w:r>
      <w:r w:rsidRPr="004C62FA">
        <w:t>impôt, au titre du dommage matériel ;</w:t>
      </w:r>
    </w:p>
    <w:p w:rsidR="00E92177" w:rsidRPr="004C62FA" w:rsidRDefault="00E92177" w:rsidP="004C62FA">
      <w:pPr>
        <w:pStyle w:val="JuPara"/>
        <w:numPr>
          <w:ilvl w:val="0"/>
          <w:numId w:val="1"/>
        </w:numPr>
        <w:ind w:firstLine="284"/>
      </w:pPr>
      <w:r w:rsidRPr="004C62FA">
        <w:t>- 12 508,44 EUR à la deuxième requérante, plus tout montant pouvant être dû sur cette somme à titre d</w:t>
      </w:r>
      <w:r w:rsidR="004C62FA" w:rsidRPr="004C62FA">
        <w:t>’</w:t>
      </w:r>
      <w:r w:rsidRPr="004C62FA">
        <w:t>impôt, au titre du dommage</w:t>
      </w:r>
      <w:r w:rsidRPr="004C62FA" w:rsidDel="00336342">
        <w:t xml:space="preserve"> </w:t>
      </w:r>
      <w:r w:rsidRPr="004C62FA">
        <w:t>matériel ;</w:t>
      </w:r>
    </w:p>
    <w:p w:rsidR="00E92177" w:rsidRPr="004C62FA" w:rsidRDefault="00E92177" w:rsidP="004C62FA">
      <w:pPr>
        <w:pStyle w:val="JuPara"/>
        <w:numPr>
          <w:ilvl w:val="0"/>
          <w:numId w:val="1"/>
        </w:numPr>
        <w:ind w:firstLine="284"/>
      </w:pPr>
      <w:r w:rsidRPr="004C62FA">
        <w:t>- 10 000 EUR aux requérants, conjointement, plus tout montant pouvant être dû sur cette somme à titre d</w:t>
      </w:r>
      <w:r w:rsidR="004C62FA" w:rsidRPr="004C62FA">
        <w:t>’</w:t>
      </w:r>
      <w:r w:rsidRPr="004C62FA">
        <w:t>impôt, au titre du dommage</w:t>
      </w:r>
      <w:r w:rsidRPr="004C62FA" w:rsidDel="00336342">
        <w:t xml:space="preserve"> </w:t>
      </w:r>
      <w:r w:rsidRPr="004C62FA">
        <w:t>moral.</w:t>
      </w:r>
    </w:p>
    <w:p w:rsidR="00E92177" w:rsidRPr="004C62FA" w:rsidRDefault="00E92177" w:rsidP="004C62FA">
      <w:pPr>
        <w:pStyle w:val="JuHA"/>
      </w:pPr>
      <w:r w:rsidRPr="004C62FA">
        <w:t>Frais et dépens</w:t>
      </w:r>
    </w:p>
    <w:p w:rsidR="00E92177" w:rsidRPr="004C62FA" w:rsidRDefault="00E92177" w:rsidP="004C62FA">
      <w:pPr>
        <w:pStyle w:val="JuPara"/>
        <w:numPr>
          <w:ilvl w:val="0"/>
          <w:numId w:val="3"/>
        </w:numPr>
        <w:ind w:firstLine="284"/>
      </w:pPr>
      <w:r w:rsidRPr="004C62FA">
        <w:fldChar w:fldCharType="begin"/>
      </w:r>
      <w:r w:rsidRPr="004C62FA">
        <w:instrText xml:space="preserve"> SEQ level0 \*arabic </w:instrText>
      </w:r>
      <w:r w:rsidRPr="004C62FA">
        <w:fldChar w:fldCharType="separate"/>
      </w:r>
      <w:r w:rsidR="004C62FA" w:rsidRPr="004C62FA">
        <w:rPr>
          <w:noProof/>
        </w:rPr>
        <w:t>33</w:t>
      </w:r>
      <w:r w:rsidRPr="004C62FA">
        <w:fldChar w:fldCharType="end"/>
      </w:r>
      <w:r w:rsidRPr="004C62FA">
        <w:t>.  Les requérants demandent aussi 11 536,09 EUR et 13 635 EUR pour leurs frais et dépens encourus respectivement devant les juridictions de première et deuxième instance. Ils demandent enfin 3 500 EUR pour leurs frais et dépens encourus devant la Cour. Ils ont présenté à l</w:t>
      </w:r>
      <w:r w:rsidR="004C62FA" w:rsidRPr="004C62FA">
        <w:t>’</w:t>
      </w:r>
      <w:r w:rsidRPr="004C62FA">
        <w:t>appui des justificatifs uniquement pour les frais encourus devant la juridiction d</w:t>
      </w:r>
      <w:r w:rsidR="004C62FA" w:rsidRPr="004C62FA">
        <w:t>’</w:t>
      </w:r>
      <w:r w:rsidRPr="004C62FA">
        <w:t>appel.</w:t>
      </w:r>
    </w:p>
    <w:p w:rsidR="00E92177" w:rsidRPr="004C62FA" w:rsidRDefault="00E92177" w:rsidP="004C62FA">
      <w:pPr>
        <w:pStyle w:val="JuPara"/>
        <w:numPr>
          <w:ilvl w:val="0"/>
          <w:numId w:val="3"/>
        </w:numPr>
        <w:ind w:firstLine="284"/>
      </w:pPr>
      <w:r w:rsidRPr="004C62FA">
        <w:lastRenderedPageBreak/>
        <w:fldChar w:fldCharType="begin"/>
      </w:r>
      <w:r w:rsidRPr="004C62FA">
        <w:instrText xml:space="preserve"> SEQ level0 \*arabic </w:instrText>
      </w:r>
      <w:r w:rsidRPr="004C62FA">
        <w:fldChar w:fldCharType="separate"/>
      </w:r>
      <w:r w:rsidR="004C62FA" w:rsidRPr="004C62FA">
        <w:rPr>
          <w:noProof/>
        </w:rPr>
        <w:t>34</w:t>
      </w:r>
      <w:r w:rsidRPr="004C62FA">
        <w:fldChar w:fldCharType="end"/>
      </w:r>
      <w:r w:rsidRPr="004C62FA">
        <w:t>.  Le Gouvernement ne présente pas d</w:t>
      </w:r>
      <w:r w:rsidR="004C62FA" w:rsidRPr="004C62FA">
        <w:t>’</w:t>
      </w:r>
      <w:r w:rsidRPr="004C62FA">
        <w:t>observations sur ce point.</w:t>
      </w:r>
    </w:p>
    <w:p w:rsidR="00E92177" w:rsidRPr="004C62FA" w:rsidRDefault="00E92177" w:rsidP="004C62FA">
      <w:pPr>
        <w:pStyle w:val="JuPara"/>
      </w:pPr>
      <w:r w:rsidRPr="004C62FA">
        <w:fldChar w:fldCharType="begin"/>
      </w:r>
      <w:r w:rsidRPr="004C62FA">
        <w:instrText xml:space="preserve"> SEQ level0 \*arabic </w:instrText>
      </w:r>
      <w:r w:rsidRPr="004C62FA">
        <w:fldChar w:fldCharType="separate"/>
      </w:r>
      <w:r w:rsidR="004C62FA" w:rsidRPr="004C62FA">
        <w:rPr>
          <w:noProof/>
        </w:rPr>
        <w:t>35</w:t>
      </w:r>
      <w:r w:rsidRPr="004C62FA">
        <w:fldChar w:fldCharType="end"/>
      </w:r>
      <w:r w:rsidRPr="004C62FA">
        <w:t>.  Selon la jurisprudence de la Cour, un requérant ne peut obtenir le remboursement de ses frais et dépens que dans la mesure où se trouvent établis leur réalité, leur nécessité et le caractère raisonnable de leur taux. En l</w:t>
      </w:r>
      <w:r w:rsidR="004C62FA" w:rsidRPr="004C62FA">
        <w:t>’</w:t>
      </w:r>
      <w:r w:rsidRPr="004C62FA">
        <w:t>espèce, compte tenu des documents en sa possession et des critères susmentionnés, la Cour rejette la demande présentée au titre des frais et dépens engagés dans le cadre de la procédure interne de première instance ainsi que celle présentée pour les frais et dépens encourus devant la Cour et juge raisonnable d</w:t>
      </w:r>
      <w:r w:rsidR="004C62FA" w:rsidRPr="004C62FA">
        <w:t>’</w:t>
      </w:r>
      <w:r w:rsidRPr="004C62FA">
        <w:t>allouer aux requérants la somme de 13 635 EUR pour les frais et dépens engagés dans le cadre de la procédure interne en appel, plus tout montant pouvant être dû sur cette somme à titre d</w:t>
      </w:r>
      <w:r w:rsidR="004C62FA" w:rsidRPr="004C62FA">
        <w:t>’</w:t>
      </w:r>
      <w:r w:rsidRPr="004C62FA">
        <w:t>impôt.</w:t>
      </w:r>
    </w:p>
    <w:p w:rsidR="00E92177" w:rsidRPr="004C62FA" w:rsidRDefault="00E92177" w:rsidP="004C62FA">
      <w:pPr>
        <w:pStyle w:val="JuPara"/>
        <w:numPr>
          <w:ilvl w:val="0"/>
          <w:numId w:val="3"/>
        </w:numPr>
        <w:ind w:firstLine="284"/>
      </w:pPr>
      <w:r w:rsidRPr="004C62FA">
        <w:fldChar w:fldCharType="begin"/>
      </w:r>
      <w:r w:rsidRPr="004C62FA">
        <w:instrText xml:space="preserve"> SEQ level0 \*arabic </w:instrText>
      </w:r>
      <w:r w:rsidRPr="004C62FA">
        <w:fldChar w:fldCharType="separate"/>
      </w:r>
      <w:r w:rsidR="004C62FA" w:rsidRPr="004C62FA">
        <w:rPr>
          <w:noProof/>
        </w:rPr>
        <w:t>36</w:t>
      </w:r>
      <w:r w:rsidRPr="004C62FA">
        <w:fldChar w:fldCharType="end"/>
      </w:r>
      <w:r w:rsidRPr="004C62FA">
        <w:t>.  La Cour juge approprié de calquer le taux des intérêts moratoires sur le taux d</w:t>
      </w:r>
      <w:r w:rsidR="004C62FA" w:rsidRPr="004C62FA">
        <w:t>’</w:t>
      </w:r>
      <w:r w:rsidRPr="004C62FA">
        <w:t>intérêt de la facilité de prêt marginal de la Banque centrale européenne majoré de trois points de pourcentage.</w:t>
      </w:r>
    </w:p>
    <w:p w:rsidR="00E92177" w:rsidRPr="004C62FA" w:rsidRDefault="00E92177" w:rsidP="004C62FA">
      <w:pPr>
        <w:pStyle w:val="JuHHead"/>
      </w:pPr>
      <w:r w:rsidRPr="004C62FA">
        <w:t>PAR CES MOTIFS, LA COUR, À L</w:t>
      </w:r>
      <w:r w:rsidR="004C62FA" w:rsidRPr="004C62FA">
        <w:t>’</w:t>
      </w:r>
      <w:r w:rsidRPr="004C62FA">
        <w:t>UNANIMITÉ,</w:t>
      </w:r>
    </w:p>
    <w:p w:rsidR="00E92177" w:rsidRPr="004C62FA" w:rsidRDefault="00E92177" w:rsidP="004C62FA">
      <w:pPr>
        <w:pStyle w:val="JuList"/>
        <w:numPr>
          <w:ilvl w:val="0"/>
          <w:numId w:val="2"/>
        </w:numPr>
      </w:pPr>
      <w:r w:rsidRPr="004C62FA">
        <w:rPr>
          <w:i/>
        </w:rPr>
        <w:t>Déclare</w:t>
      </w:r>
      <w:r w:rsidRPr="004C62FA">
        <w:t xml:space="preserve"> les griefs relatifs à l</w:t>
      </w:r>
      <w:r w:rsidR="004C62FA" w:rsidRPr="004C62FA">
        <w:t>’</w:t>
      </w:r>
      <w:r w:rsidRPr="004C62FA">
        <w:t>article 6 § 1 de la Convention (droit d</w:t>
      </w:r>
      <w:r w:rsidR="004C62FA" w:rsidRPr="004C62FA">
        <w:t>’</w:t>
      </w:r>
      <w:r w:rsidRPr="004C62FA">
        <w:t>accès à un tribunal), à l</w:t>
      </w:r>
      <w:r w:rsidR="004C62FA" w:rsidRPr="004C62FA">
        <w:t>’</w:t>
      </w:r>
      <w:r w:rsidRPr="004C62FA">
        <w:t>article 1 du Protocole n</w:t>
      </w:r>
      <w:r w:rsidRPr="004C62FA">
        <w:rPr>
          <w:vertAlign w:val="superscript"/>
        </w:rPr>
        <w:t>o</w:t>
      </w:r>
      <w:r w:rsidRPr="004C62FA">
        <w:t> 1 à la Convention et à l</w:t>
      </w:r>
      <w:r w:rsidR="004C62FA" w:rsidRPr="004C62FA">
        <w:t>’</w:t>
      </w:r>
      <w:r w:rsidRPr="004C62FA">
        <w:t>article</w:t>
      </w:r>
      <w:r w:rsidR="002D6655" w:rsidRPr="004C62FA">
        <w:t> </w:t>
      </w:r>
      <w:r w:rsidRPr="004C62FA">
        <w:t>13 de la Convention recevables et le surplus de la requête irrecevable ;</w:t>
      </w:r>
    </w:p>
    <w:p w:rsidR="00E92177" w:rsidRPr="004C62FA" w:rsidRDefault="00E92177" w:rsidP="004C62FA">
      <w:pPr>
        <w:pStyle w:val="JuList"/>
        <w:numPr>
          <w:ilvl w:val="0"/>
          <w:numId w:val="2"/>
        </w:numPr>
      </w:pPr>
      <w:r w:rsidRPr="004C62FA">
        <w:rPr>
          <w:i/>
        </w:rPr>
        <w:t>Dit</w:t>
      </w:r>
      <w:r w:rsidRPr="004C62FA">
        <w:t xml:space="preserve"> qu</w:t>
      </w:r>
      <w:r w:rsidR="004C62FA" w:rsidRPr="004C62FA">
        <w:t>’</w:t>
      </w:r>
      <w:r w:rsidRPr="004C62FA">
        <w:t>il y a eu violation de l</w:t>
      </w:r>
      <w:r w:rsidR="004C62FA" w:rsidRPr="004C62FA">
        <w:t>’</w:t>
      </w:r>
      <w:r w:rsidRPr="004C62FA">
        <w:t>article 6 § 1 de la Convention ;</w:t>
      </w:r>
    </w:p>
    <w:p w:rsidR="00E92177" w:rsidRPr="004C62FA" w:rsidRDefault="00E92177" w:rsidP="004C62FA">
      <w:pPr>
        <w:pStyle w:val="JuList"/>
        <w:numPr>
          <w:ilvl w:val="0"/>
          <w:numId w:val="2"/>
        </w:numPr>
      </w:pPr>
      <w:r w:rsidRPr="004C62FA">
        <w:rPr>
          <w:i/>
        </w:rPr>
        <w:t>Dit</w:t>
      </w:r>
      <w:r w:rsidRPr="004C62FA">
        <w:t xml:space="preserve"> qu</w:t>
      </w:r>
      <w:r w:rsidR="004C62FA" w:rsidRPr="004C62FA">
        <w:t>’</w:t>
      </w:r>
      <w:r w:rsidRPr="004C62FA">
        <w:t>il y a eu violation de l</w:t>
      </w:r>
      <w:r w:rsidR="004C62FA" w:rsidRPr="004C62FA">
        <w:t>’</w:t>
      </w:r>
      <w:r w:rsidRPr="004C62FA">
        <w:t>article 1 du Protocole n</w:t>
      </w:r>
      <w:r w:rsidRPr="004C62FA">
        <w:rPr>
          <w:vertAlign w:val="superscript"/>
        </w:rPr>
        <w:t>o</w:t>
      </w:r>
      <w:r w:rsidRPr="004C62FA">
        <w:t> 1 à la Convention ;</w:t>
      </w:r>
    </w:p>
    <w:p w:rsidR="00E92177" w:rsidRPr="004C62FA" w:rsidRDefault="00E92177" w:rsidP="004C62FA">
      <w:pPr>
        <w:pStyle w:val="JuList"/>
        <w:numPr>
          <w:ilvl w:val="0"/>
          <w:numId w:val="2"/>
        </w:numPr>
      </w:pPr>
      <w:r w:rsidRPr="004C62FA">
        <w:rPr>
          <w:i/>
        </w:rPr>
        <w:t>Dit</w:t>
      </w:r>
      <w:r w:rsidRPr="004C62FA">
        <w:t xml:space="preserve"> qu</w:t>
      </w:r>
      <w:r w:rsidR="004C62FA" w:rsidRPr="004C62FA">
        <w:t>’</w:t>
      </w:r>
      <w:r w:rsidRPr="004C62FA">
        <w:t>il y a eu violation de l</w:t>
      </w:r>
      <w:r w:rsidR="004C62FA" w:rsidRPr="004C62FA">
        <w:t>’</w:t>
      </w:r>
      <w:r w:rsidRPr="004C62FA">
        <w:t>article 13 de la Convention ;</w:t>
      </w:r>
    </w:p>
    <w:p w:rsidR="00E92177" w:rsidRPr="004C62FA" w:rsidRDefault="00E92177" w:rsidP="004C62FA">
      <w:pPr>
        <w:pStyle w:val="JuList"/>
        <w:numPr>
          <w:ilvl w:val="0"/>
          <w:numId w:val="2"/>
        </w:numPr>
      </w:pPr>
      <w:r w:rsidRPr="004C62FA">
        <w:rPr>
          <w:i/>
        </w:rPr>
        <w:t>Dit</w:t>
      </w:r>
      <w:r w:rsidRPr="004C62FA">
        <w:t>,</w:t>
      </w:r>
    </w:p>
    <w:p w:rsidR="00E92177" w:rsidRPr="004C62FA" w:rsidRDefault="00E92177" w:rsidP="004C62FA">
      <w:pPr>
        <w:pStyle w:val="JuLista"/>
        <w:numPr>
          <w:ilvl w:val="1"/>
          <w:numId w:val="2"/>
        </w:numPr>
      </w:pPr>
      <w:proofErr w:type="gramStart"/>
      <w:r w:rsidRPr="004C62FA">
        <w:t>que</w:t>
      </w:r>
      <w:proofErr w:type="gramEnd"/>
      <w:r w:rsidRPr="004C62FA">
        <w:t xml:space="preserve"> l</w:t>
      </w:r>
      <w:r w:rsidR="004C62FA" w:rsidRPr="004C62FA">
        <w:t>’</w:t>
      </w:r>
      <w:r w:rsidRPr="004C62FA">
        <w:t>État défendeur doit verser, dans un délai de trois mois à compter de la date à laquelle l</w:t>
      </w:r>
      <w:r w:rsidR="004C62FA" w:rsidRPr="004C62FA">
        <w:t>’</w:t>
      </w:r>
      <w:r w:rsidRPr="004C62FA">
        <w:t>arrêt sera devenu définitif conformément à l</w:t>
      </w:r>
      <w:r w:rsidR="004C62FA" w:rsidRPr="004C62FA">
        <w:t>’</w:t>
      </w:r>
      <w:r w:rsidRPr="004C62FA">
        <w:t>article 44 § 2 de la Convention, les sommes suivantes, au taux applicable à la date du règlement :</w:t>
      </w:r>
    </w:p>
    <w:p w:rsidR="00E92177" w:rsidRPr="004C62FA" w:rsidRDefault="00E92177" w:rsidP="004C62FA">
      <w:pPr>
        <w:pStyle w:val="JuListi"/>
        <w:numPr>
          <w:ilvl w:val="2"/>
          <w:numId w:val="2"/>
        </w:numPr>
      </w:pPr>
      <w:r w:rsidRPr="004C62FA">
        <w:t>101 151,88 EUR (cent un mille cent cinquante et un euros et quatre-vingt-huit centimes), plus tout montant pouvant être dû sur cette somme à titre d</w:t>
      </w:r>
      <w:r w:rsidR="004C62FA" w:rsidRPr="004C62FA">
        <w:t>’</w:t>
      </w:r>
      <w:r w:rsidRPr="004C62FA">
        <w:t>impôt, au premier requérant, pour dommage matériel ;</w:t>
      </w:r>
    </w:p>
    <w:p w:rsidR="00E92177" w:rsidRPr="004C62FA" w:rsidRDefault="00E92177" w:rsidP="004C62FA">
      <w:pPr>
        <w:pStyle w:val="JuListi"/>
        <w:numPr>
          <w:ilvl w:val="2"/>
          <w:numId w:val="2"/>
        </w:numPr>
      </w:pPr>
      <w:r w:rsidRPr="004C62FA">
        <w:t>12 508,44 EUR (douze mille cinq cent huit euros et quarante-quatre centimes), plus tout montant pouvant être dû sur cette somme à titre d</w:t>
      </w:r>
      <w:r w:rsidR="004C62FA" w:rsidRPr="004C62FA">
        <w:t>’</w:t>
      </w:r>
      <w:r w:rsidRPr="004C62FA">
        <w:t>impôt, à la deuxième requérante, pour dommage matériel ;</w:t>
      </w:r>
    </w:p>
    <w:p w:rsidR="00E92177" w:rsidRPr="004C62FA" w:rsidRDefault="00E92177" w:rsidP="004C62FA">
      <w:pPr>
        <w:pStyle w:val="JuListi"/>
        <w:numPr>
          <w:ilvl w:val="2"/>
          <w:numId w:val="2"/>
        </w:numPr>
      </w:pPr>
      <w:r w:rsidRPr="004C62FA">
        <w:lastRenderedPageBreak/>
        <w:t>10 000 EUR (dix mille euros), plus tout montant pouvant être dû sur cette somme à titre d</w:t>
      </w:r>
      <w:r w:rsidR="004C62FA" w:rsidRPr="004C62FA">
        <w:t>’</w:t>
      </w:r>
      <w:r w:rsidRPr="004C62FA">
        <w:t>impôt, aux deux requérants conjointement, pour dommage moral ;</w:t>
      </w:r>
    </w:p>
    <w:p w:rsidR="00E92177" w:rsidRPr="004C62FA" w:rsidRDefault="00E92177" w:rsidP="004C62FA">
      <w:pPr>
        <w:pStyle w:val="JuListi"/>
        <w:numPr>
          <w:ilvl w:val="2"/>
          <w:numId w:val="2"/>
        </w:numPr>
      </w:pPr>
      <w:r w:rsidRPr="004C62FA">
        <w:t>13 635 EUR (treize mille six cent trente-cinq euros), plus tout montant pouvant être dû sur cette somme par les requérants à titre d</w:t>
      </w:r>
      <w:r w:rsidR="004C62FA" w:rsidRPr="004C62FA">
        <w:t>’</w:t>
      </w:r>
      <w:r w:rsidRPr="004C62FA">
        <w:t>impôt, pour les frais et dépens encourus dans la procédure interne ;</w:t>
      </w:r>
    </w:p>
    <w:p w:rsidR="005C731B" w:rsidRPr="004C62FA" w:rsidRDefault="00E92177" w:rsidP="004C62FA">
      <w:pPr>
        <w:pStyle w:val="JuLista"/>
        <w:numPr>
          <w:ilvl w:val="1"/>
          <w:numId w:val="2"/>
        </w:numPr>
      </w:pPr>
      <w:proofErr w:type="gramStart"/>
      <w:r w:rsidRPr="004C62FA">
        <w:t>qu</w:t>
      </w:r>
      <w:r w:rsidR="004C62FA" w:rsidRPr="004C62FA">
        <w:t>’</w:t>
      </w:r>
      <w:r w:rsidRPr="004C62FA">
        <w:t>à</w:t>
      </w:r>
      <w:proofErr w:type="gramEnd"/>
      <w:r w:rsidRPr="004C62FA">
        <w:t xml:space="preserve"> compter de l</w:t>
      </w:r>
      <w:r w:rsidR="004C62FA" w:rsidRPr="004C62FA">
        <w:t>’</w:t>
      </w:r>
      <w:r w:rsidRPr="004C62FA">
        <w:t>expiration dudit délai et jusqu</w:t>
      </w:r>
      <w:r w:rsidR="004C62FA" w:rsidRPr="004C62FA">
        <w:t>’</w:t>
      </w:r>
      <w:r w:rsidRPr="004C62FA">
        <w:t>au versement, ces montants seront à majorer d</w:t>
      </w:r>
      <w:r w:rsidR="004C62FA" w:rsidRPr="004C62FA">
        <w:t>’</w:t>
      </w:r>
      <w:r w:rsidRPr="004C62FA">
        <w:t>un intérêt simple à un taux égal à celui de la facilité de prêt marginal de la Banque centrale européenne applicable pendant cette période, augmenté de trois points de pourcentage ;</w:t>
      </w:r>
    </w:p>
    <w:p w:rsidR="00876F03" w:rsidRPr="004C62FA" w:rsidRDefault="00E92177" w:rsidP="004C62FA">
      <w:pPr>
        <w:pStyle w:val="JuList"/>
        <w:numPr>
          <w:ilvl w:val="0"/>
          <w:numId w:val="2"/>
        </w:numPr>
      </w:pPr>
      <w:r w:rsidRPr="004C62FA">
        <w:rPr>
          <w:i/>
          <w:iCs/>
        </w:rPr>
        <w:t>Rejette</w:t>
      </w:r>
      <w:r w:rsidRPr="004C62FA">
        <w:t xml:space="preserve"> le surplus de la demande de satisfaction équitable.</w:t>
      </w:r>
    </w:p>
    <w:p w:rsidR="00893F30" w:rsidRPr="004C62FA" w:rsidRDefault="00893F30" w:rsidP="004C62FA">
      <w:pPr>
        <w:pStyle w:val="JuParaLast"/>
      </w:pPr>
      <w:r w:rsidRPr="004C62FA">
        <w:t xml:space="preserve">Fait en français, puis communiqué par écrit le </w:t>
      </w:r>
      <w:r w:rsidR="00E92177" w:rsidRPr="004C62FA">
        <w:t>24 juin 2021</w:t>
      </w:r>
      <w:r w:rsidRPr="004C62FA">
        <w:t>, en application de l</w:t>
      </w:r>
      <w:r w:rsidR="004C62FA" w:rsidRPr="004C62FA">
        <w:t>’</w:t>
      </w:r>
      <w:r w:rsidRPr="004C62FA">
        <w:t>article 77 §§ 2 et 3 du règlement.</w:t>
      </w:r>
    </w:p>
    <w:p w:rsidR="00E92177" w:rsidRPr="004C62FA" w:rsidRDefault="00F94531" w:rsidP="004C62FA">
      <w:pPr>
        <w:pStyle w:val="JuSigned"/>
        <w:keepNext/>
        <w:keepLines/>
        <w:rPr>
          <w:color w:val="F8F8F8" w:themeColor="background2"/>
        </w:rPr>
      </w:pPr>
      <w:r w:rsidRPr="004C62FA">
        <w:rPr>
          <w:color w:val="F8F8F8" w:themeColor="background2"/>
        </w:rPr>
        <w:tab/>
        <w:t xml:space="preserve"> {</w:t>
      </w:r>
      <w:proofErr w:type="gramStart"/>
      <w:r w:rsidRPr="004C62FA">
        <w:rPr>
          <w:color w:val="F8F8F8" w:themeColor="background2"/>
        </w:rPr>
        <w:t>signature</w:t>
      </w:r>
      <w:proofErr w:type="gramEnd"/>
      <w:r w:rsidRPr="004C62FA">
        <w:rPr>
          <w:color w:val="F8F8F8" w:themeColor="background2"/>
        </w:rPr>
        <w:t>_p_2}</w:t>
      </w:r>
    </w:p>
    <w:p w:rsidR="00876F03" w:rsidRPr="004C62FA" w:rsidRDefault="00E92177" w:rsidP="004C62FA">
      <w:pPr>
        <w:pStyle w:val="JuSigned"/>
      </w:pPr>
      <w:r w:rsidRPr="004C62FA">
        <w:tab/>
      </w:r>
      <w:r w:rsidR="00FD7919" w:rsidRPr="004C62FA">
        <w:t xml:space="preserve">Liv </w:t>
      </w:r>
      <w:proofErr w:type="spellStart"/>
      <w:r w:rsidR="00FD7919" w:rsidRPr="004C62FA">
        <w:t>Tigerstedt</w:t>
      </w:r>
      <w:proofErr w:type="spellEnd"/>
      <w:r w:rsidR="004344E6" w:rsidRPr="004C62FA">
        <w:tab/>
      </w:r>
      <w:r w:rsidR="004F064A" w:rsidRPr="004C62FA">
        <w:t xml:space="preserve">Péter </w:t>
      </w:r>
      <w:proofErr w:type="spellStart"/>
      <w:r w:rsidR="004F064A" w:rsidRPr="004C62FA">
        <w:t>Paczolay</w:t>
      </w:r>
      <w:proofErr w:type="spellEnd"/>
      <w:r w:rsidR="004344E6" w:rsidRPr="004C62FA">
        <w:br/>
      </w:r>
      <w:r w:rsidR="004344E6" w:rsidRPr="004C62FA">
        <w:tab/>
      </w:r>
      <w:r w:rsidR="00FD7919" w:rsidRPr="004C62FA">
        <w:t>Greffière adjointe</w:t>
      </w:r>
      <w:r w:rsidR="004344E6" w:rsidRPr="004C62FA">
        <w:tab/>
      </w:r>
      <w:r w:rsidRPr="004C62FA">
        <w:t>Président</w:t>
      </w:r>
    </w:p>
    <w:p w:rsidR="00876F03" w:rsidRPr="004C62FA" w:rsidRDefault="00876F03" w:rsidP="004C62FA"/>
    <w:sectPr w:rsidR="00876F03" w:rsidRPr="004C62FA">
      <w:headerReference w:type="even" r:id="rId18"/>
      <w:headerReference w:type="default" r:id="rId19"/>
      <w:footerReference w:type="default" r:id="rId20"/>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C5E" w:rsidRPr="00E92177" w:rsidRDefault="00C75C5E" w:rsidP="00516B59">
      <w:r w:rsidRPr="00E92177">
        <w:separator/>
      </w:r>
    </w:p>
  </w:endnote>
  <w:endnote w:type="continuationSeparator" w:id="0">
    <w:p w:rsidR="00C75C5E" w:rsidRPr="00E92177" w:rsidRDefault="00C75C5E" w:rsidP="00516B59">
      <w:r w:rsidRPr="00E921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AD6" w:rsidRPr="00E92177" w:rsidRDefault="00E92177"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77" w:rsidRPr="00150BFA" w:rsidRDefault="00E92177" w:rsidP="0020718E">
    <w:pPr>
      <w:jc w:val="center"/>
    </w:pPr>
    <w:r>
      <w:rPr>
        <w:noProof/>
        <w:lang w:val="en-US" w:eastAsia="ja-JP"/>
      </w:rPr>
      <w:drawing>
        <wp:inline distT="0" distB="0" distL="0" distR="0" wp14:anchorId="1886F865" wp14:editId="0CF3E687">
          <wp:extent cx="771525" cy="619125"/>
          <wp:effectExtent l="0" t="0" r="9525" b="9525"/>
          <wp:docPr id="64" name="Picture 6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22D5C" w:rsidRPr="00E92177" w:rsidRDefault="00C75C5E"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77" w:rsidRPr="00150BFA" w:rsidRDefault="00E92177" w:rsidP="0020718E">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02601" w:rsidRPr="00E92177"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5C" w:rsidRPr="00D01935" w:rsidRDefault="00E92177"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C5E" w:rsidRPr="00E92177" w:rsidRDefault="00C75C5E" w:rsidP="00516B59">
      <w:r w:rsidRPr="00E92177">
        <w:separator/>
      </w:r>
    </w:p>
  </w:footnote>
  <w:footnote w:type="continuationSeparator" w:id="0">
    <w:p w:rsidR="00C75C5E" w:rsidRPr="00E92177" w:rsidRDefault="00C75C5E" w:rsidP="00516B59">
      <w:r w:rsidRPr="00E9217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77" w:rsidRDefault="00E921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77" w:rsidRPr="00A45145" w:rsidRDefault="00E92177" w:rsidP="00A45145">
    <w:pPr>
      <w:jc w:val="center"/>
    </w:pPr>
    <w:r>
      <w:rPr>
        <w:noProof/>
        <w:lang w:val="en-US" w:eastAsia="ja-JP"/>
      </w:rPr>
      <w:drawing>
        <wp:inline distT="0" distB="0" distL="0" distR="0" wp14:anchorId="37609D74" wp14:editId="10854475">
          <wp:extent cx="2962275" cy="1219200"/>
          <wp:effectExtent l="0" t="0" r="9525" b="0"/>
          <wp:docPr id="61" name="Picture 6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22D5C" w:rsidRPr="00E92177" w:rsidRDefault="00C75C5E" w:rsidP="009840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77" w:rsidRPr="00A45145" w:rsidRDefault="00E92177" w:rsidP="00A45145">
    <w:pPr>
      <w:jc w:val="center"/>
    </w:pPr>
    <w:r>
      <w:rPr>
        <w:noProof/>
        <w:lang w:val="en-US" w:eastAsia="ja-JP"/>
      </w:rPr>
      <w:drawing>
        <wp:inline distT="0" distB="0" distL="0" distR="0" wp14:anchorId="37609D74" wp14:editId="10854475">
          <wp:extent cx="2962275" cy="1219200"/>
          <wp:effectExtent l="0" t="0" r="9525" b="0"/>
          <wp:docPr id="53" name="Picture 5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02601" w:rsidRPr="00E92177" w:rsidRDefault="00902601"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E92177">
      <w:rPr>
        <w:lang w:val="en-US"/>
      </w:rPr>
      <w:t>MASTROIANNI ET TOSCANO c. ITALIE</w:t>
    </w:r>
    <w:r w:rsidR="00E92177" w:rsidRPr="00592C8D">
      <w:rPr>
        <w:noProof/>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5C" w:rsidRPr="00662882" w:rsidRDefault="00256F45" w:rsidP="00662882">
    <w:pPr>
      <w:pStyle w:val="JuHeader"/>
    </w:pPr>
    <w:r w:rsidRPr="00592C8D">
      <w:rPr>
        <w:lang w:val="en-US"/>
      </w:rPr>
      <w:t>ARRÊT</w:t>
    </w:r>
    <w:r w:rsidR="00162967" w:rsidRPr="00592C8D">
      <w:rPr>
        <w:lang w:val="en-US"/>
      </w:rPr>
      <w:t xml:space="preserve"> </w:t>
    </w:r>
    <w:r w:rsidR="00E92177">
      <w:rPr>
        <w:lang w:val="en-US"/>
      </w:rPr>
      <w:t>MASTROIANNI ET TOSCANO c. ITALIE</w:t>
    </w:r>
    <w:r w:rsidR="007971FF"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C36EE3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4A6430B9"/>
    <w:multiLevelType w:val="multilevel"/>
    <w:tmpl w:val="D7B623CC"/>
    <w:lvl w:ilvl="0">
      <w:start w:val="9"/>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2"/>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8"/>
  </w:num>
  <w:num w:numId="2">
    <w:abstractNumId w:val="13"/>
  </w:num>
  <w:num w:numId="3">
    <w:abstractNumId w:val="16"/>
  </w:num>
  <w:num w:numId="4">
    <w:abstractNumId w:val="9"/>
  </w:num>
  <w:num w:numId="5">
    <w:abstractNumId w:val="14"/>
  </w:num>
  <w:num w:numId="6">
    <w:abstractNumId w:val="11"/>
  </w:num>
  <w:num w:numId="7">
    <w:abstractNumId w:val="10"/>
  </w:num>
  <w:num w:numId="8">
    <w:abstractNumId w:val="15"/>
  </w:num>
  <w:num w:numId="9">
    <w:abstractNumId w:val="12"/>
  </w:num>
  <w:num w:numId="10">
    <w:abstractNumId w:val="17"/>
  </w:num>
  <w:num w:numId="11">
    <w:abstractNumId w:val="1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E92177"/>
    <w:rsid w:val="000041F8"/>
    <w:rsid w:val="000042A8"/>
    <w:rsid w:val="00004308"/>
    <w:rsid w:val="00005BF0"/>
    <w:rsid w:val="00007154"/>
    <w:rsid w:val="000103AE"/>
    <w:rsid w:val="00011D69"/>
    <w:rsid w:val="00012AD3"/>
    <w:rsid w:val="00015C2D"/>
    <w:rsid w:val="00015F00"/>
    <w:rsid w:val="00022C1D"/>
    <w:rsid w:val="00034987"/>
    <w:rsid w:val="00051015"/>
    <w:rsid w:val="00051CC0"/>
    <w:rsid w:val="000535AA"/>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674C"/>
    <w:rsid w:val="001B1CF9"/>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840BD"/>
    <w:rsid w:val="002948AD"/>
    <w:rsid w:val="00295462"/>
    <w:rsid w:val="0029739C"/>
    <w:rsid w:val="002A01CC"/>
    <w:rsid w:val="002A61B1"/>
    <w:rsid w:val="002A663C"/>
    <w:rsid w:val="002B444B"/>
    <w:rsid w:val="002B5887"/>
    <w:rsid w:val="002B7E83"/>
    <w:rsid w:val="002C0E27"/>
    <w:rsid w:val="002C3040"/>
    <w:rsid w:val="002D022D"/>
    <w:rsid w:val="002D24BB"/>
    <w:rsid w:val="002D6655"/>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D3F29"/>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C62FA"/>
    <w:rsid w:val="004D15F3"/>
    <w:rsid w:val="004D5311"/>
    <w:rsid w:val="004D5DCC"/>
    <w:rsid w:val="004E22F1"/>
    <w:rsid w:val="004F064A"/>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8348D"/>
    <w:rsid w:val="00592772"/>
    <w:rsid w:val="00592C8D"/>
    <w:rsid w:val="0059574A"/>
    <w:rsid w:val="005A1B9B"/>
    <w:rsid w:val="005A6751"/>
    <w:rsid w:val="005B092E"/>
    <w:rsid w:val="005B152C"/>
    <w:rsid w:val="005B1EE0"/>
    <w:rsid w:val="005B2B24"/>
    <w:rsid w:val="005B4425"/>
    <w:rsid w:val="005B4B94"/>
    <w:rsid w:val="005C353F"/>
    <w:rsid w:val="005C3EE8"/>
    <w:rsid w:val="005C731B"/>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3B68"/>
    <w:rsid w:val="007A3E8D"/>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17829"/>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E546E"/>
    <w:rsid w:val="00AF4B07"/>
    <w:rsid w:val="00AF6186"/>
    <w:rsid w:val="00AF7A3A"/>
    <w:rsid w:val="00B009F4"/>
    <w:rsid w:val="00B160DB"/>
    <w:rsid w:val="00B200F2"/>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4DA2"/>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75C5E"/>
    <w:rsid w:val="00C80DAB"/>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857"/>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2177"/>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D791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4C62FA"/>
    <w:rPr>
      <w:sz w:val="24"/>
      <w:szCs w:val="24"/>
      <w:lang w:val="fr-FR"/>
    </w:rPr>
  </w:style>
  <w:style w:type="paragraph" w:styleId="Titolo1">
    <w:name w:val="heading 1"/>
    <w:basedOn w:val="Normale"/>
    <w:next w:val="Normale"/>
    <w:link w:val="Titolo1Carattere"/>
    <w:uiPriority w:val="98"/>
    <w:semiHidden/>
    <w:rsid w:val="004C62F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4C62F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4C62FA"/>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4C62FA"/>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4C62FA"/>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4C62F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4C62FA"/>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4C62F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4C62F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4C62FA"/>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4C62FA"/>
    <w:rPr>
      <w:rFonts w:ascii="Tahoma" w:hAnsi="Tahoma" w:cs="Tahoma"/>
      <w:sz w:val="16"/>
      <w:szCs w:val="16"/>
      <w:lang w:val="fr-FR"/>
    </w:rPr>
  </w:style>
  <w:style w:type="character" w:styleId="Titolodellibro">
    <w:name w:val="Book Title"/>
    <w:uiPriority w:val="98"/>
    <w:semiHidden/>
    <w:qFormat/>
    <w:rsid w:val="004C62FA"/>
    <w:rPr>
      <w:i/>
      <w:iCs/>
      <w:smallCaps/>
      <w:spacing w:val="5"/>
    </w:rPr>
  </w:style>
  <w:style w:type="paragraph" w:customStyle="1" w:styleId="JuHeader">
    <w:name w:val="Ju_Header"/>
    <w:aliases w:val="_Header"/>
    <w:basedOn w:val="Intestazione"/>
    <w:uiPriority w:val="29"/>
    <w:qFormat/>
    <w:rsid w:val="004C62FA"/>
    <w:pPr>
      <w:tabs>
        <w:tab w:val="clear" w:pos="4536"/>
        <w:tab w:val="clear" w:pos="9072"/>
      </w:tabs>
      <w:jc w:val="center"/>
    </w:pPr>
    <w:rPr>
      <w:sz w:val="18"/>
    </w:rPr>
  </w:style>
  <w:style w:type="paragraph" w:customStyle="1" w:styleId="DummyStyle">
    <w:name w:val="Dummy_Style"/>
    <w:aliases w:val="_Dummy"/>
    <w:basedOn w:val="Normale"/>
    <w:semiHidden/>
    <w:qFormat/>
    <w:rsid w:val="004C62FA"/>
    <w:rPr>
      <w:color w:val="00B050"/>
      <w:sz w:val="22"/>
    </w:rPr>
  </w:style>
  <w:style w:type="character" w:styleId="Enfasigrassetto">
    <w:name w:val="Strong"/>
    <w:uiPriority w:val="98"/>
    <w:semiHidden/>
    <w:qFormat/>
    <w:rsid w:val="004C62FA"/>
    <w:rPr>
      <w:b/>
      <w:bCs/>
    </w:rPr>
  </w:style>
  <w:style w:type="paragraph" w:styleId="Nessunaspaziatura">
    <w:name w:val="No Spacing"/>
    <w:basedOn w:val="Normale"/>
    <w:link w:val="NessunaspaziaturaCarattere"/>
    <w:uiPriority w:val="98"/>
    <w:semiHidden/>
    <w:qFormat/>
    <w:rsid w:val="004C62FA"/>
  </w:style>
  <w:style w:type="character" w:customStyle="1" w:styleId="NessunaspaziaturaCarattere">
    <w:name w:val="Nessuna spaziatura Carattere"/>
    <w:basedOn w:val="Carpredefinitoparagrafo"/>
    <w:link w:val="Nessunaspaziatura"/>
    <w:uiPriority w:val="98"/>
    <w:semiHidden/>
    <w:rsid w:val="004C62FA"/>
    <w:rPr>
      <w:sz w:val="24"/>
      <w:szCs w:val="24"/>
      <w:lang w:val="fr-FR"/>
    </w:rPr>
  </w:style>
  <w:style w:type="paragraph" w:customStyle="1" w:styleId="JuQuot">
    <w:name w:val="Ju_Quot"/>
    <w:aliases w:val="_Quote"/>
    <w:basedOn w:val="NormalJustified"/>
    <w:uiPriority w:val="20"/>
    <w:qFormat/>
    <w:rsid w:val="004C62FA"/>
    <w:pPr>
      <w:spacing w:before="120" w:after="120"/>
      <w:ind w:left="425" w:firstLine="142"/>
    </w:pPr>
    <w:rPr>
      <w:sz w:val="20"/>
    </w:rPr>
  </w:style>
  <w:style w:type="paragraph" w:customStyle="1" w:styleId="JuList">
    <w:name w:val="Ju_List"/>
    <w:aliases w:val="_List_1"/>
    <w:basedOn w:val="NormalJustified"/>
    <w:uiPriority w:val="23"/>
    <w:qFormat/>
    <w:rsid w:val="004C62FA"/>
    <w:pPr>
      <w:numPr>
        <w:numId w:val="9"/>
      </w:numPr>
      <w:spacing w:before="280" w:after="60"/>
    </w:pPr>
  </w:style>
  <w:style w:type="paragraph" w:customStyle="1" w:styleId="JuLista">
    <w:name w:val="Ju_List_a"/>
    <w:aliases w:val="_List_2"/>
    <w:basedOn w:val="NormalJustified"/>
    <w:uiPriority w:val="23"/>
    <w:rsid w:val="004C62FA"/>
    <w:pPr>
      <w:numPr>
        <w:ilvl w:val="1"/>
        <w:numId w:val="9"/>
      </w:numPr>
    </w:pPr>
  </w:style>
  <w:style w:type="paragraph" w:customStyle="1" w:styleId="JuListi">
    <w:name w:val="Ju_List_i"/>
    <w:aliases w:val="_List_3"/>
    <w:basedOn w:val="NormalJustified"/>
    <w:uiPriority w:val="23"/>
    <w:rsid w:val="004C62FA"/>
    <w:pPr>
      <w:numPr>
        <w:ilvl w:val="2"/>
        <w:numId w:val="9"/>
      </w:numPr>
    </w:pPr>
  </w:style>
  <w:style w:type="paragraph" w:customStyle="1" w:styleId="DecHTitle">
    <w:name w:val="Dec_H_Title"/>
    <w:aliases w:val="_Title_1"/>
    <w:basedOn w:val="JuPara"/>
    <w:next w:val="JuPara"/>
    <w:uiPriority w:val="38"/>
    <w:qFormat/>
    <w:rsid w:val="004C62FA"/>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4C62FA"/>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4C62FA"/>
    <w:pPr>
      <w:keepNext/>
      <w:keepLines/>
      <w:tabs>
        <w:tab w:val="right" w:pos="7938"/>
      </w:tabs>
      <w:ind w:firstLine="0"/>
      <w:jc w:val="center"/>
    </w:pPr>
    <w:rPr>
      <w:i/>
    </w:rPr>
  </w:style>
  <w:style w:type="numbering" w:customStyle="1" w:styleId="ECHRA1StyleBulletedSquare">
    <w:name w:val="ECHR_A1_Style_Bulleted_Square"/>
    <w:basedOn w:val="Nessunelenco"/>
    <w:rsid w:val="004C62FA"/>
    <w:pPr>
      <w:numPr>
        <w:numId w:val="8"/>
      </w:numPr>
    </w:pPr>
  </w:style>
  <w:style w:type="paragraph" w:customStyle="1" w:styleId="JuHHead">
    <w:name w:val="Ju_H_Head"/>
    <w:aliases w:val="_Head_1"/>
    <w:basedOn w:val="Titolo1"/>
    <w:next w:val="JuPara"/>
    <w:uiPriority w:val="17"/>
    <w:qFormat/>
    <w:rsid w:val="004C62FA"/>
    <w:pPr>
      <w:keepNext/>
      <w:keepLines/>
      <w:numPr>
        <w:numId w:val="4"/>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4C62FA"/>
    <w:pPr>
      <w:numPr>
        <w:numId w:val="9"/>
      </w:numPr>
    </w:pPr>
  </w:style>
  <w:style w:type="paragraph" w:customStyle="1" w:styleId="JuSigned">
    <w:name w:val="Ju_Signed"/>
    <w:aliases w:val="_Signature"/>
    <w:basedOn w:val="Normale"/>
    <w:next w:val="JuPara"/>
    <w:uiPriority w:val="31"/>
    <w:qFormat/>
    <w:rsid w:val="004C62FA"/>
    <w:pPr>
      <w:tabs>
        <w:tab w:val="center" w:pos="851"/>
        <w:tab w:val="center" w:pos="6407"/>
      </w:tabs>
      <w:spacing w:before="720"/>
    </w:pPr>
  </w:style>
  <w:style w:type="paragraph" w:styleId="Titolo">
    <w:name w:val="Title"/>
    <w:basedOn w:val="Normale"/>
    <w:next w:val="Normale"/>
    <w:link w:val="TitoloCarattere"/>
    <w:uiPriority w:val="98"/>
    <w:semiHidden/>
    <w:qFormat/>
    <w:rsid w:val="004C62F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4C62FA"/>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4C62FA"/>
    <w:pPr>
      <w:numPr>
        <w:numId w:val="10"/>
      </w:numPr>
    </w:pPr>
  </w:style>
  <w:style w:type="table" w:customStyle="1" w:styleId="ECHRTable2019">
    <w:name w:val="ECHR_Table_2019"/>
    <w:basedOn w:val="Tabellanormale"/>
    <w:uiPriority w:val="99"/>
    <w:rsid w:val="004C62F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4C62FA"/>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4C62FA"/>
    <w:pPr>
      <w:tabs>
        <w:tab w:val="center" w:pos="6407"/>
      </w:tabs>
      <w:spacing w:before="720"/>
      <w:jc w:val="right"/>
    </w:pPr>
  </w:style>
  <w:style w:type="paragraph" w:customStyle="1" w:styleId="JuHIRoman">
    <w:name w:val="Ju_H_I_Roman"/>
    <w:aliases w:val="_Head_2"/>
    <w:basedOn w:val="Titolo2"/>
    <w:next w:val="JuPara"/>
    <w:uiPriority w:val="17"/>
    <w:qFormat/>
    <w:rsid w:val="004C62FA"/>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4C62FA"/>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4C62FA"/>
    <w:pPr>
      <w:keepNext/>
      <w:keepLines/>
      <w:numPr>
        <w:ilvl w:val="3"/>
        <w:numId w:val="4"/>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4C62FA"/>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4C62FA"/>
    <w:rPr>
      <w:sz w:val="24"/>
      <w:szCs w:val="24"/>
      <w:lang w:val="fr-FR"/>
    </w:rPr>
  </w:style>
  <w:style w:type="character" w:customStyle="1" w:styleId="Titolo1Carattere">
    <w:name w:val="Titolo 1 Carattere"/>
    <w:basedOn w:val="Carpredefinitoparagrafo"/>
    <w:link w:val="Titolo1"/>
    <w:uiPriority w:val="98"/>
    <w:semiHidden/>
    <w:rsid w:val="004C62FA"/>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4C62FA"/>
    <w:pPr>
      <w:keepNext/>
      <w:keepLines/>
      <w:numPr>
        <w:ilvl w:val="4"/>
        <w:numId w:val="4"/>
      </w:numPr>
      <w:spacing w:before="100" w:beforeAutospacing="1" w:after="120"/>
      <w:jc w:val="both"/>
    </w:pPr>
    <w:rPr>
      <w:color w:val="auto"/>
      <w:sz w:val="20"/>
    </w:rPr>
  </w:style>
  <w:style w:type="paragraph" w:customStyle="1" w:styleId="JuHi">
    <w:name w:val="Ju_H_i"/>
    <w:aliases w:val="_Head_6"/>
    <w:basedOn w:val="Titolo6"/>
    <w:next w:val="JuPara"/>
    <w:uiPriority w:val="17"/>
    <w:rsid w:val="004C62FA"/>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4C62FA"/>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4C62FA"/>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4C62FA"/>
    <w:pPr>
      <w:keepNext/>
      <w:keepLines/>
      <w:numPr>
        <w:ilvl w:val="7"/>
        <w:numId w:val="4"/>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4C62FA"/>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4C62FA"/>
    <w:pPr>
      <w:keepNext/>
      <w:keepLines/>
      <w:spacing w:before="240" w:after="240"/>
      <w:ind w:firstLine="284"/>
    </w:pPr>
  </w:style>
  <w:style w:type="paragraph" w:customStyle="1" w:styleId="JuJudges">
    <w:name w:val="Ju_Judges"/>
    <w:aliases w:val="_Judges"/>
    <w:basedOn w:val="Normale"/>
    <w:link w:val="JuJudgesChar"/>
    <w:uiPriority w:val="32"/>
    <w:qFormat/>
    <w:rsid w:val="004C62FA"/>
    <w:pPr>
      <w:tabs>
        <w:tab w:val="left" w:pos="567"/>
        <w:tab w:val="left" w:pos="1134"/>
      </w:tabs>
    </w:pPr>
  </w:style>
  <w:style w:type="character" w:customStyle="1" w:styleId="Titolo4Carattere">
    <w:name w:val="Titolo 4 Carattere"/>
    <w:basedOn w:val="Carpredefinitoparagrafo"/>
    <w:link w:val="Titolo4"/>
    <w:uiPriority w:val="98"/>
    <w:semiHidden/>
    <w:rsid w:val="004C62FA"/>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semiHidden/>
    <w:qFormat/>
    <w:rsid w:val="004C62FA"/>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4C62FA"/>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4C62FA"/>
    <w:rPr>
      <w:caps w:val="0"/>
      <w:smallCaps/>
    </w:rPr>
  </w:style>
  <w:style w:type="paragraph" w:customStyle="1" w:styleId="NormalJustified">
    <w:name w:val="Normal_Justified"/>
    <w:basedOn w:val="Normale"/>
    <w:semiHidden/>
    <w:rsid w:val="004C62FA"/>
    <w:pPr>
      <w:jc w:val="both"/>
    </w:pPr>
  </w:style>
  <w:style w:type="character" w:styleId="Enfasidelicata">
    <w:name w:val="Subtle Emphasis"/>
    <w:uiPriority w:val="98"/>
    <w:semiHidden/>
    <w:qFormat/>
    <w:rsid w:val="004C62FA"/>
    <w:rPr>
      <w:i/>
      <w:iCs/>
    </w:rPr>
  </w:style>
  <w:style w:type="table" w:customStyle="1" w:styleId="ECHRTable">
    <w:name w:val="ECHR_Table"/>
    <w:basedOn w:val="Tabellanormale"/>
    <w:rsid w:val="004C62F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62F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4C62FA"/>
    <w:rPr>
      <w:b/>
      <w:bCs/>
      <w:i/>
      <w:iCs/>
      <w:spacing w:val="10"/>
      <w:bdr w:val="none" w:sz="0" w:space="0" w:color="auto"/>
      <w:shd w:val="clear" w:color="auto" w:fill="auto"/>
    </w:rPr>
  </w:style>
  <w:style w:type="paragraph" w:styleId="Pidipagina">
    <w:name w:val="footer"/>
    <w:basedOn w:val="Normale"/>
    <w:link w:val="PidipaginaCarattere"/>
    <w:uiPriority w:val="98"/>
    <w:semiHidden/>
    <w:rsid w:val="004C62FA"/>
    <w:pPr>
      <w:tabs>
        <w:tab w:val="center" w:pos="3686"/>
        <w:tab w:val="right" w:pos="7371"/>
      </w:tabs>
    </w:pPr>
  </w:style>
  <w:style w:type="character" w:customStyle="1" w:styleId="PidipaginaCarattere">
    <w:name w:val="Piè di pagina Carattere"/>
    <w:basedOn w:val="Carpredefinitoparagrafo"/>
    <w:link w:val="Pidipagina"/>
    <w:uiPriority w:val="98"/>
    <w:semiHidden/>
    <w:rsid w:val="004C62FA"/>
    <w:rPr>
      <w:sz w:val="24"/>
      <w:szCs w:val="24"/>
      <w:lang w:val="fr-FR"/>
    </w:rPr>
  </w:style>
  <w:style w:type="character" w:styleId="Rimandonotaapidipagina">
    <w:name w:val="footnote reference"/>
    <w:basedOn w:val="Carpredefinitoparagrafo"/>
    <w:uiPriority w:val="98"/>
    <w:semiHidden/>
    <w:rsid w:val="004C62FA"/>
    <w:rPr>
      <w:vertAlign w:val="superscript"/>
    </w:rPr>
  </w:style>
  <w:style w:type="paragraph" w:styleId="Testonotaapidipagina">
    <w:name w:val="footnote text"/>
    <w:basedOn w:val="Normale"/>
    <w:link w:val="TestonotaapidipaginaCarattere"/>
    <w:uiPriority w:val="98"/>
    <w:semiHidden/>
    <w:rsid w:val="004C62FA"/>
    <w:rPr>
      <w:sz w:val="20"/>
      <w:szCs w:val="20"/>
    </w:rPr>
  </w:style>
  <w:style w:type="character" w:customStyle="1" w:styleId="TestonotaapidipaginaCarattere">
    <w:name w:val="Testo nota a piè di pagina Carattere"/>
    <w:basedOn w:val="Carpredefinitoparagrafo"/>
    <w:link w:val="Testonotaapidipagina"/>
    <w:uiPriority w:val="98"/>
    <w:semiHidden/>
    <w:rsid w:val="004C62FA"/>
    <w:rPr>
      <w:sz w:val="20"/>
      <w:szCs w:val="20"/>
      <w:lang w:val="fr-FR"/>
    </w:rPr>
  </w:style>
  <w:style w:type="character" w:customStyle="1" w:styleId="Titolo6Carattere">
    <w:name w:val="Titolo 6 Carattere"/>
    <w:basedOn w:val="Carpredefinitoparagrafo"/>
    <w:link w:val="Titolo6"/>
    <w:uiPriority w:val="98"/>
    <w:semiHidden/>
    <w:rsid w:val="004C62FA"/>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4C62FA"/>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4C62FA"/>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4C62FA"/>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4C62FA"/>
    <w:rPr>
      <w:color w:val="0072BC" w:themeColor="hyperlink"/>
      <w:u w:val="single"/>
    </w:rPr>
  </w:style>
  <w:style w:type="character" w:styleId="Enfasiintensa">
    <w:name w:val="Intense Emphasis"/>
    <w:uiPriority w:val="98"/>
    <w:semiHidden/>
    <w:qFormat/>
    <w:rsid w:val="004C62FA"/>
    <w:rPr>
      <w:b/>
      <w:bCs/>
    </w:rPr>
  </w:style>
  <w:style w:type="paragraph" w:styleId="Citazioneintensa">
    <w:name w:val="Intense Quote"/>
    <w:basedOn w:val="Normale"/>
    <w:next w:val="Normale"/>
    <w:link w:val="CitazioneintensaCarattere"/>
    <w:uiPriority w:val="98"/>
    <w:semiHidden/>
    <w:qFormat/>
    <w:rsid w:val="004C62FA"/>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4C62FA"/>
    <w:rPr>
      <w:b/>
      <w:bCs/>
      <w:i/>
      <w:iCs/>
      <w:sz w:val="24"/>
      <w:szCs w:val="24"/>
      <w:lang w:val="fr-FR" w:bidi="en-US"/>
    </w:rPr>
  </w:style>
  <w:style w:type="character" w:styleId="Riferimentointenso">
    <w:name w:val="Intense Reference"/>
    <w:uiPriority w:val="98"/>
    <w:semiHidden/>
    <w:qFormat/>
    <w:rsid w:val="004C62FA"/>
    <w:rPr>
      <w:smallCaps/>
      <w:spacing w:val="5"/>
      <w:u w:val="single"/>
    </w:rPr>
  </w:style>
  <w:style w:type="paragraph" w:styleId="Paragrafoelenco">
    <w:name w:val="List Paragraph"/>
    <w:basedOn w:val="Normale"/>
    <w:uiPriority w:val="98"/>
    <w:semiHidden/>
    <w:qFormat/>
    <w:rsid w:val="004C62FA"/>
    <w:pPr>
      <w:ind w:left="720"/>
      <w:contextualSpacing/>
    </w:pPr>
  </w:style>
  <w:style w:type="table" w:customStyle="1" w:styleId="LtrTableAddress">
    <w:name w:val="Ltr_Table_Address"/>
    <w:aliases w:val="ECHR_Ltr_Table_Address"/>
    <w:basedOn w:val="Tabellanormale"/>
    <w:uiPriority w:val="99"/>
    <w:rsid w:val="004C62FA"/>
    <w:rPr>
      <w:sz w:val="24"/>
      <w:szCs w:val="24"/>
    </w:rPr>
    <w:tblPr>
      <w:tblInd w:w="5103" w:type="dxa"/>
    </w:tblPr>
  </w:style>
  <w:style w:type="paragraph" w:styleId="Citazione">
    <w:name w:val="Quote"/>
    <w:basedOn w:val="Normale"/>
    <w:next w:val="Normale"/>
    <w:link w:val="CitazioneCarattere"/>
    <w:uiPriority w:val="98"/>
    <w:semiHidden/>
    <w:qFormat/>
    <w:rsid w:val="004C62FA"/>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4C62FA"/>
    <w:rPr>
      <w:i/>
      <w:iCs/>
      <w:sz w:val="24"/>
      <w:szCs w:val="24"/>
      <w:lang w:val="fr-FR" w:bidi="en-US"/>
    </w:rPr>
  </w:style>
  <w:style w:type="character" w:styleId="Riferimentodelicato">
    <w:name w:val="Subtle Reference"/>
    <w:uiPriority w:val="98"/>
    <w:semiHidden/>
    <w:qFormat/>
    <w:rsid w:val="004C62FA"/>
    <w:rPr>
      <w:smallCaps/>
    </w:rPr>
  </w:style>
  <w:style w:type="table" w:styleId="Grigliatabella">
    <w:name w:val="Table Grid"/>
    <w:basedOn w:val="Tabellanormale"/>
    <w:uiPriority w:val="59"/>
    <w:semiHidden/>
    <w:rsid w:val="004C62F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4C62FA"/>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4C62FA"/>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4C62FA"/>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4C62FA"/>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4C62FA"/>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4C62F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4C62F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4C62F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4C62F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4C62F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4C62F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4C62F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4C62F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4C62FA"/>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4C62FA"/>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4C62FA"/>
    <w:pPr>
      <w:numPr>
        <w:numId w:val="5"/>
      </w:numPr>
    </w:pPr>
  </w:style>
  <w:style w:type="paragraph" w:customStyle="1" w:styleId="JuPara">
    <w:name w:val="Ju_Para"/>
    <w:aliases w:val="_Para"/>
    <w:basedOn w:val="NormalJustified"/>
    <w:link w:val="JuParaChar"/>
    <w:uiPriority w:val="4"/>
    <w:qFormat/>
    <w:rsid w:val="004C62FA"/>
    <w:pPr>
      <w:ind w:firstLine="284"/>
    </w:pPr>
  </w:style>
  <w:style w:type="numbering" w:styleId="1ai">
    <w:name w:val="Outline List 1"/>
    <w:basedOn w:val="Nessunelenco"/>
    <w:uiPriority w:val="99"/>
    <w:semiHidden/>
    <w:unhideWhenUsed/>
    <w:rsid w:val="004C62FA"/>
    <w:pPr>
      <w:numPr>
        <w:numId w:val="6"/>
      </w:numPr>
    </w:pPr>
  </w:style>
  <w:style w:type="table" w:customStyle="1" w:styleId="ECHRTableSimpleBox">
    <w:name w:val="ECHR_Table_Simple_Box"/>
    <w:basedOn w:val="Tabellanormale"/>
    <w:uiPriority w:val="99"/>
    <w:rsid w:val="004C62F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4C62F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4C62FA"/>
    <w:pPr>
      <w:numPr>
        <w:numId w:val="7"/>
      </w:numPr>
    </w:pPr>
  </w:style>
  <w:style w:type="table" w:customStyle="1" w:styleId="ECHRTableForInternalUse">
    <w:name w:val="ECHR_Table_For_Internal_Use"/>
    <w:basedOn w:val="Tabellanormale"/>
    <w:uiPriority w:val="99"/>
    <w:rsid w:val="004C62F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C62F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4C62FA"/>
  </w:style>
  <w:style w:type="paragraph" w:styleId="Testodelblocco">
    <w:name w:val="Block Text"/>
    <w:basedOn w:val="Normale"/>
    <w:uiPriority w:val="98"/>
    <w:semiHidden/>
    <w:rsid w:val="004C62F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4C62F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4C62FA"/>
    <w:pPr>
      <w:spacing w:after="120"/>
    </w:pPr>
  </w:style>
  <w:style w:type="character" w:customStyle="1" w:styleId="CorpotestoCarattere">
    <w:name w:val="Corpo testo Carattere"/>
    <w:basedOn w:val="Carpredefinitoparagrafo"/>
    <w:link w:val="Corpotesto"/>
    <w:uiPriority w:val="98"/>
    <w:semiHidden/>
    <w:rsid w:val="004C62FA"/>
    <w:rPr>
      <w:sz w:val="24"/>
      <w:szCs w:val="24"/>
      <w:lang w:val="fr-FR"/>
    </w:rPr>
  </w:style>
  <w:style w:type="table" w:customStyle="1" w:styleId="ECHRTableOddBanded">
    <w:name w:val="ECHR_Table_Odd_Banded"/>
    <w:basedOn w:val="Tabellanormale"/>
    <w:uiPriority w:val="99"/>
    <w:rsid w:val="004C62F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4C62FA"/>
    <w:pPr>
      <w:spacing w:after="120" w:line="480" w:lineRule="auto"/>
    </w:pPr>
  </w:style>
  <w:style w:type="table" w:customStyle="1" w:styleId="ECHRHeaderTableReduced">
    <w:name w:val="ECHR_Header_Table_Reduced"/>
    <w:basedOn w:val="Tabellanormale"/>
    <w:uiPriority w:val="99"/>
    <w:rsid w:val="004C62F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4C62FA"/>
    <w:pPr>
      <w:ind w:firstLine="284"/>
    </w:pPr>
    <w:rPr>
      <w:b/>
    </w:rPr>
  </w:style>
  <w:style w:type="character" w:styleId="Numeropagina">
    <w:name w:val="page number"/>
    <w:uiPriority w:val="98"/>
    <w:semiHidden/>
    <w:rsid w:val="004C62FA"/>
    <w:rPr>
      <w:sz w:val="18"/>
    </w:rPr>
  </w:style>
  <w:style w:type="paragraph" w:styleId="Puntoelenco2">
    <w:name w:val="List Bullet 2"/>
    <w:basedOn w:val="Normale"/>
    <w:uiPriority w:val="98"/>
    <w:semiHidden/>
    <w:rsid w:val="004C62FA"/>
    <w:pPr>
      <w:numPr>
        <w:numId w:val="12"/>
      </w:numPr>
      <w:contextualSpacing/>
    </w:pPr>
  </w:style>
  <w:style w:type="character" w:customStyle="1" w:styleId="Corpodeltesto2Carattere">
    <w:name w:val="Corpo del testo 2 Carattere"/>
    <w:basedOn w:val="Carpredefinitoparagrafo"/>
    <w:link w:val="Corpodeltesto2"/>
    <w:uiPriority w:val="98"/>
    <w:semiHidden/>
    <w:rsid w:val="004C62FA"/>
    <w:rPr>
      <w:sz w:val="24"/>
      <w:szCs w:val="24"/>
      <w:lang w:val="fr-FR"/>
    </w:rPr>
  </w:style>
  <w:style w:type="paragraph" w:styleId="Corpodeltesto3">
    <w:name w:val="Body Text 3"/>
    <w:basedOn w:val="Normale"/>
    <w:link w:val="Corpodeltesto3Carattere"/>
    <w:uiPriority w:val="98"/>
    <w:semiHidden/>
    <w:rsid w:val="004C62FA"/>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4C62FA"/>
    <w:rPr>
      <w:sz w:val="16"/>
      <w:szCs w:val="16"/>
      <w:lang w:val="fr-FR"/>
    </w:rPr>
  </w:style>
  <w:style w:type="paragraph" w:styleId="Primorientrocorpodeltesto">
    <w:name w:val="Body Text First Indent"/>
    <w:basedOn w:val="Corpotesto"/>
    <w:link w:val="PrimorientrocorpodeltestoCarattere"/>
    <w:uiPriority w:val="98"/>
    <w:semiHidden/>
    <w:rsid w:val="004C62FA"/>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4C62FA"/>
    <w:rPr>
      <w:sz w:val="24"/>
      <w:szCs w:val="24"/>
      <w:lang w:val="fr-FR"/>
    </w:rPr>
  </w:style>
  <w:style w:type="paragraph" w:styleId="Rientrocorpodeltesto">
    <w:name w:val="Body Text Indent"/>
    <w:basedOn w:val="Normale"/>
    <w:link w:val="RientrocorpodeltestoCarattere"/>
    <w:uiPriority w:val="98"/>
    <w:semiHidden/>
    <w:rsid w:val="004C62FA"/>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4C62FA"/>
    <w:rPr>
      <w:sz w:val="24"/>
      <w:szCs w:val="24"/>
      <w:lang w:val="fr-FR"/>
    </w:rPr>
  </w:style>
  <w:style w:type="paragraph" w:styleId="Primorientrocorpodeltesto2">
    <w:name w:val="Body Text First Indent 2"/>
    <w:basedOn w:val="Rientrocorpodeltesto"/>
    <w:link w:val="Primorientrocorpodeltesto2Carattere"/>
    <w:uiPriority w:val="98"/>
    <w:semiHidden/>
    <w:rsid w:val="004C62F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4C62FA"/>
    <w:rPr>
      <w:sz w:val="24"/>
      <w:szCs w:val="24"/>
      <w:lang w:val="fr-FR"/>
    </w:rPr>
  </w:style>
  <w:style w:type="paragraph" w:styleId="Rientrocorpodeltesto2">
    <w:name w:val="Body Text Indent 2"/>
    <w:basedOn w:val="Normale"/>
    <w:link w:val="Rientrocorpodeltesto2Carattere"/>
    <w:uiPriority w:val="98"/>
    <w:semiHidden/>
    <w:rsid w:val="004C62F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4C62FA"/>
    <w:rPr>
      <w:sz w:val="24"/>
      <w:szCs w:val="24"/>
      <w:lang w:val="fr-FR"/>
    </w:rPr>
  </w:style>
  <w:style w:type="paragraph" w:styleId="Rientrocorpodeltesto3">
    <w:name w:val="Body Text Indent 3"/>
    <w:basedOn w:val="Normale"/>
    <w:link w:val="Rientrocorpodeltesto3Carattere"/>
    <w:uiPriority w:val="98"/>
    <w:semiHidden/>
    <w:rsid w:val="004C62F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4C62FA"/>
    <w:rPr>
      <w:sz w:val="16"/>
      <w:szCs w:val="16"/>
      <w:lang w:val="fr-FR"/>
    </w:rPr>
  </w:style>
  <w:style w:type="paragraph" w:styleId="Didascalia">
    <w:name w:val="caption"/>
    <w:basedOn w:val="Normale"/>
    <w:next w:val="Normale"/>
    <w:uiPriority w:val="98"/>
    <w:semiHidden/>
    <w:qFormat/>
    <w:rsid w:val="004C62FA"/>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4C62FA"/>
    <w:pPr>
      <w:ind w:left="4252"/>
    </w:pPr>
  </w:style>
  <w:style w:type="character" w:customStyle="1" w:styleId="FormuladichiusuraCarattere">
    <w:name w:val="Formula di chiusura Carattere"/>
    <w:basedOn w:val="Carpredefinitoparagrafo"/>
    <w:link w:val="Formuladichiusura"/>
    <w:uiPriority w:val="98"/>
    <w:semiHidden/>
    <w:rsid w:val="004C62FA"/>
    <w:rPr>
      <w:sz w:val="24"/>
      <w:szCs w:val="24"/>
      <w:lang w:val="fr-FR"/>
    </w:rPr>
  </w:style>
  <w:style w:type="table" w:styleId="Grigliaacolori">
    <w:name w:val="Colorful Grid"/>
    <w:basedOn w:val="Tabellanormale"/>
    <w:uiPriority w:val="73"/>
    <w:semiHidden/>
    <w:rsid w:val="004C62F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4C62F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4C62F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4C62F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4C62F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4C62F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4C62F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4C62F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4C62F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4C62F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4C62F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4C62F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4C62F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4C62F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4C62F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4C62F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4C62F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4C62F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4C62F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4C62F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4C62F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4C62FA"/>
    <w:rPr>
      <w:sz w:val="16"/>
      <w:szCs w:val="16"/>
    </w:rPr>
  </w:style>
  <w:style w:type="paragraph" w:styleId="Testocommento">
    <w:name w:val="annotation text"/>
    <w:basedOn w:val="Normale"/>
    <w:link w:val="TestocommentoCarattere"/>
    <w:uiPriority w:val="98"/>
    <w:semiHidden/>
    <w:rsid w:val="004C62FA"/>
    <w:rPr>
      <w:sz w:val="20"/>
      <w:szCs w:val="20"/>
    </w:rPr>
  </w:style>
  <w:style w:type="character" w:customStyle="1" w:styleId="TestocommentoCarattere">
    <w:name w:val="Testo commento Carattere"/>
    <w:basedOn w:val="Carpredefinitoparagrafo"/>
    <w:link w:val="Testocommento"/>
    <w:uiPriority w:val="98"/>
    <w:semiHidden/>
    <w:rsid w:val="004C62FA"/>
    <w:rPr>
      <w:sz w:val="20"/>
      <w:szCs w:val="20"/>
      <w:lang w:val="fr-FR"/>
    </w:rPr>
  </w:style>
  <w:style w:type="paragraph" w:styleId="Soggettocommento">
    <w:name w:val="annotation subject"/>
    <w:basedOn w:val="Testocommento"/>
    <w:next w:val="Testocommento"/>
    <w:link w:val="SoggettocommentoCarattere"/>
    <w:uiPriority w:val="98"/>
    <w:semiHidden/>
    <w:rsid w:val="004C62FA"/>
    <w:rPr>
      <w:b/>
      <w:bCs/>
    </w:rPr>
  </w:style>
  <w:style w:type="character" w:customStyle="1" w:styleId="SoggettocommentoCarattere">
    <w:name w:val="Soggetto commento Carattere"/>
    <w:basedOn w:val="TestocommentoCarattere"/>
    <w:link w:val="Soggettocommento"/>
    <w:uiPriority w:val="98"/>
    <w:semiHidden/>
    <w:rsid w:val="004C62FA"/>
    <w:rPr>
      <w:b/>
      <w:bCs/>
      <w:sz w:val="20"/>
      <w:szCs w:val="20"/>
      <w:lang w:val="fr-FR"/>
    </w:rPr>
  </w:style>
  <w:style w:type="table" w:styleId="Elencoscuro">
    <w:name w:val="Dark List"/>
    <w:basedOn w:val="Tabellanormale"/>
    <w:uiPriority w:val="70"/>
    <w:semiHidden/>
    <w:rsid w:val="004C62F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4C62F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4C62F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4C62F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4C62F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4C62F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4C62F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4C62FA"/>
  </w:style>
  <w:style w:type="character" w:customStyle="1" w:styleId="DataCarattere">
    <w:name w:val="Data Carattere"/>
    <w:basedOn w:val="Carpredefinitoparagrafo"/>
    <w:link w:val="Data"/>
    <w:uiPriority w:val="98"/>
    <w:semiHidden/>
    <w:rsid w:val="004C62FA"/>
    <w:rPr>
      <w:sz w:val="24"/>
      <w:szCs w:val="24"/>
      <w:lang w:val="fr-FR"/>
    </w:rPr>
  </w:style>
  <w:style w:type="paragraph" w:styleId="Mappadocumento">
    <w:name w:val="Document Map"/>
    <w:basedOn w:val="Normale"/>
    <w:link w:val="MappadocumentoCarattere"/>
    <w:uiPriority w:val="98"/>
    <w:semiHidden/>
    <w:rsid w:val="004C62FA"/>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4C62FA"/>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4C62FA"/>
  </w:style>
  <w:style w:type="character" w:customStyle="1" w:styleId="FirmadipostaelettronicaCarattere">
    <w:name w:val="Firma di posta elettronica Carattere"/>
    <w:basedOn w:val="Carpredefinitoparagrafo"/>
    <w:link w:val="Firmadipostaelettronica"/>
    <w:uiPriority w:val="98"/>
    <w:semiHidden/>
    <w:rsid w:val="004C62FA"/>
    <w:rPr>
      <w:sz w:val="24"/>
      <w:szCs w:val="24"/>
      <w:lang w:val="fr-FR"/>
    </w:rPr>
  </w:style>
  <w:style w:type="character" w:styleId="Rimandonotadichiusura">
    <w:name w:val="endnote reference"/>
    <w:basedOn w:val="Carpredefinitoparagrafo"/>
    <w:uiPriority w:val="98"/>
    <w:semiHidden/>
    <w:rsid w:val="004C62FA"/>
    <w:rPr>
      <w:vertAlign w:val="superscript"/>
    </w:rPr>
  </w:style>
  <w:style w:type="paragraph" w:styleId="Testonotadichiusura">
    <w:name w:val="endnote text"/>
    <w:basedOn w:val="Normale"/>
    <w:link w:val="TestonotadichiusuraCarattere"/>
    <w:uiPriority w:val="98"/>
    <w:semiHidden/>
    <w:rsid w:val="004C62FA"/>
    <w:rPr>
      <w:sz w:val="20"/>
      <w:szCs w:val="20"/>
    </w:rPr>
  </w:style>
  <w:style w:type="character" w:customStyle="1" w:styleId="TestonotadichiusuraCarattere">
    <w:name w:val="Testo nota di chiusura Carattere"/>
    <w:basedOn w:val="Carpredefinitoparagrafo"/>
    <w:link w:val="Testonotadichiusura"/>
    <w:uiPriority w:val="98"/>
    <w:semiHidden/>
    <w:rsid w:val="004C62FA"/>
    <w:rPr>
      <w:sz w:val="20"/>
      <w:szCs w:val="20"/>
      <w:lang w:val="fr-FR"/>
    </w:rPr>
  </w:style>
  <w:style w:type="paragraph" w:styleId="Indirizzodestinatario">
    <w:name w:val="envelope address"/>
    <w:basedOn w:val="Normale"/>
    <w:uiPriority w:val="98"/>
    <w:semiHidden/>
    <w:rsid w:val="004C62FA"/>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4C62FA"/>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4C62FA"/>
    <w:rPr>
      <w:color w:val="7030A0" w:themeColor="followedHyperlink"/>
      <w:u w:val="single"/>
    </w:rPr>
  </w:style>
  <w:style w:type="character" w:styleId="AcronimoHTML">
    <w:name w:val="HTML Acronym"/>
    <w:basedOn w:val="Carpredefinitoparagrafo"/>
    <w:uiPriority w:val="98"/>
    <w:semiHidden/>
    <w:rsid w:val="004C62FA"/>
  </w:style>
  <w:style w:type="paragraph" w:styleId="IndirizzoHTML">
    <w:name w:val="HTML Address"/>
    <w:basedOn w:val="Normale"/>
    <w:link w:val="IndirizzoHTMLCarattere"/>
    <w:uiPriority w:val="98"/>
    <w:semiHidden/>
    <w:rsid w:val="004C62FA"/>
    <w:rPr>
      <w:i/>
      <w:iCs/>
    </w:rPr>
  </w:style>
  <w:style w:type="character" w:customStyle="1" w:styleId="IndirizzoHTMLCarattere">
    <w:name w:val="Indirizzo HTML Carattere"/>
    <w:basedOn w:val="Carpredefinitoparagrafo"/>
    <w:link w:val="IndirizzoHTML"/>
    <w:uiPriority w:val="98"/>
    <w:semiHidden/>
    <w:rsid w:val="004C62FA"/>
    <w:rPr>
      <w:i/>
      <w:iCs/>
      <w:sz w:val="24"/>
      <w:szCs w:val="24"/>
      <w:lang w:val="fr-FR"/>
    </w:rPr>
  </w:style>
  <w:style w:type="character" w:styleId="CitazioneHTML">
    <w:name w:val="HTML Cite"/>
    <w:basedOn w:val="Carpredefinitoparagrafo"/>
    <w:uiPriority w:val="98"/>
    <w:semiHidden/>
    <w:rsid w:val="004C62FA"/>
    <w:rPr>
      <w:i/>
      <w:iCs/>
    </w:rPr>
  </w:style>
  <w:style w:type="character" w:styleId="CodiceHTML">
    <w:name w:val="HTML Code"/>
    <w:basedOn w:val="Carpredefinitoparagrafo"/>
    <w:uiPriority w:val="98"/>
    <w:semiHidden/>
    <w:rsid w:val="004C62FA"/>
    <w:rPr>
      <w:rFonts w:ascii="Consolas" w:hAnsi="Consolas" w:cs="Consolas"/>
      <w:sz w:val="20"/>
      <w:szCs w:val="20"/>
    </w:rPr>
  </w:style>
  <w:style w:type="character" w:styleId="DefinizioneHTML">
    <w:name w:val="HTML Definition"/>
    <w:basedOn w:val="Carpredefinitoparagrafo"/>
    <w:uiPriority w:val="98"/>
    <w:semiHidden/>
    <w:rsid w:val="004C62FA"/>
    <w:rPr>
      <w:i/>
      <w:iCs/>
    </w:rPr>
  </w:style>
  <w:style w:type="character" w:styleId="TastieraHTML">
    <w:name w:val="HTML Keyboard"/>
    <w:basedOn w:val="Carpredefinitoparagrafo"/>
    <w:uiPriority w:val="98"/>
    <w:semiHidden/>
    <w:rsid w:val="004C62FA"/>
    <w:rPr>
      <w:rFonts w:ascii="Consolas" w:hAnsi="Consolas" w:cs="Consolas"/>
      <w:sz w:val="20"/>
      <w:szCs w:val="20"/>
    </w:rPr>
  </w:style>
  <w:style w:type="paragraph" w:styleId="PreformattatoHTML">
    <w:name w:val="HTML Preformatted"/>
    <w:basedOn w:val="Normale"/>
    <w:link w:val="PreformattatoHTMLCarattere"/>
    <w:uiPriority w:val="98"/>
    <w:semiHidden/>
    <w:rsid w:val="004C62F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4C62FA"/>
    <w:rPr>
      <w:rFonts w:ascii="Consolas" w:hAnsi="Consolas" w:cs="Consolas"/>
      <w:sz w:val="20"/>
      <w:szCs w:val="20"/>
      <w:lang w:val="fr-FR"/>
    </w:rPr>
  </w:style>
  <w:style w:type="character" w:styleId="EsempioHTML">
    <w:name w:val="HTML Sample"/>
    <w:basedOn w:val="Carpredefinitoparagrafo"/>
    <w:uiPriority w:val="98"/>
    <w:semiHidden/>
    <w:rsid w:val="004C62FA"/>
    <w:rPr>
      <w:rFonts w:ascii="Consolas" w:hAnsi="Consolas" w:cs="Consolas"/>
      <w:sz w:val="24"/>
      <w:szCs w:val="24"/>
    </w:rPr>
  </w:style>
  <w:style w:type="character" w:styleId="MacchinadascrivereHTML">
    <w:name w:val="HTML Typewriter"/>
    <w:basedOn w:val="Carpredefinitoparagrafo"/>
    <w:uiPriority w:val="98"/>
    <w:semiHidden/>
    <w:rsid w:val="004C62FA"/>
    <w:rPr>
      <w:rFonts w:ascii="Consolas" w:hAnsi="Consolas" w:cs="Consolas"/>
      <w:sz w:val="20"/>
      <w:szCs w:val="20"/>
    </w:rPr>
  </w:style>
  <w:style w:type="character" w:styleId="VariabileHTML">
    <w:name w:val="HTML Variable"/>
    <w:basedOn w:val="Carpredefinitoparagrafo"/>
    <w:uiPriority w:val="98"/>
    <w:semiHidden/>
    <w:rsid w:val="004C62FA"/>
    <w:rPr>
      <w:i/>
      <w:iCs/>
    </w:rPr>
  </w:style>
  <w:style w:type="paragraph" w:styleId="Indice1">
    <w:name w:val="index 1"/>
    <w:basedOn w:val="Normale"/>
    <w:next w:val="Normale"/>
    <w:autoRedefine/>
    <w:uiPriority w:val="98"/>
    <w:semiHidden/>
    <w:rsid w:val="004C62FA"/>
    <w:pPr>
      <w:ind w:left="240" w:hanging="240"/>
    </w:pPr>
  </w:style>
  <w:style w:type="paragraph" w:styleId="Indice2">
    <w:name w:val="index 2"/>
    <w:basedOn w:val="Normale"/>
    <w:next w:val="Normale"/>
    <w:autoRedefine/>
    <w:uiPriority w:val="98"/>
    <w:semiHidden/>
    <w:rsid w:val="004C62FA"/>
    <w:pPr>
      <w:ind w:left="480" w:hanging="240"/>
    </w:pPr>
  </w:style>
  <w:style w:type="paragraph" w:styleId="Indice3">
    <w:name w:val="index 3"/>
    <w:basedOn w:val="Normale"/>
    <w:next w:val="Normale"/>
    <w:autoRedefine/>
    <w:uiPriority w:val="98"/>
    <w:semiHidden/>
    <w:rsid w:val="004C62FA"/>
    <w:pPr>
      <w:ind w:left="720" w:hanging="240"/>
    </w:pPr>
  </w:style>
  <w:style w:type="paragraph" w:styleId="Indice4">
    <w:name w:val="index 4"/>
    <w:basedOn w:val="Normale"/>
    <w:next w:val="Normale"/>
    <w:autoRedefine/>
    <w:uiPriority w:val="98"/>
    <w:semiHidden/>
    <w:rsid w:val="004C62FA"/>
    <w:pPr>
      <w:ind w:left="960" w:hanging="240"/>
    </w:pPr>
  </w:style>
  <w:style w:type="paragraph" w:styleId="Indice5">
    <w:name w:val="index 5"/>
    <w:basedOn w:val="Normale"/>
    <w:next w:val="Normale"/>
    <w:autoRedefine/>
    <w:uiPriority w:val="98"/>
    <w:semiHidden/>
    <w:rsid w:val="004C62FA"/>
    <w:pPr>
      <w:ind w:left="1200" w:hanging="240"/>
    </w:pPr>
  </w:style>
  <w:style w:type="paragraph" w:styleId="Indice6">
    <w:name w:val="index 6"/>
    <w:basedOn w:val="Normale"/>
    <w:next w:val="Normale"/>
    <w:autoRedefine/>
    <w:uiPriority w:val="98"/>
    <w:semiHidden/>
    <w:rsid w:val="004C62FA"/>
    <w:pPr>
      <w:ind w:left="1440" w:hanging="240"/>
    </w:pPr>
  </w:style>
  <w:style w:type="paragraph" w:styleId="Indice7">
    <w:name w:val="index 7"/>
    <w:basedOn w:val="Normale"/>
    <w:next w:val="Normale"/>
    <w:autoRedefine/>
    <w:uiPriority w:val="98"/>
    <w:semiHidden/>
    <w:rsid w:val="004C62FA"/>
    <w:pPr>
      <w:ind w:left="1680" w:hanging="240"/>
    </w:pPr>
  </w:style>
  <w:style w:type="paragraph" w:styleId="Indice8">
    <w:name w:val="index 8"/>
    <w:basedOn w:val="Normale"/>
    <w:next w:val="Normale"/>
    <w:autoRedefine/>
    <w:uiPriority w:val="98"/>
    <w:semiHidden/>
    <w:rsid w:val="004C62FA"/>
    <w:pPr>
      <w:ind w:left="1920" w:hanging="240"/>
    </w:pPr>
  </w:style>
  <w:style w:type="paragraph" w:styleId="Indice9">
    <w:name w:val="index 9"/>
    <w:basedOn w:val="Normale"/>
    <w:next w:val="Normale"/>
    <w:autoRedefine/>
    <w:uiPriority w:val="98"/>
    <w:semiHidden/>
    <w:rsid w:val="004C62FA"/>
    <w:pPr>
      <w:ind w:left="2160" w:hanging="240"/>
    </w:pPr>
  </w:style>
  <w:style w:type="paragraph" w:styleId="Titoloindice">
    <w:name w:val="index heading"/>
    <w:basedOn w:val="Normale"/>
    <w:next w:val="Indice1"/>
    <w:uiPriority w:val="98"/>
    <w:semiHidden/>
    <w:rsid w:val="004C62FA"/>
    <w:rPr>
      <w:rFonts w:asciiTheme="majorHAnsi" w:eastAsiaTheme="majorEastAsia" w:hAnsiTheme="majorHAnsi" w:cstheme="majorBidi"/>
      <w:b/>
      <w:bCs/>
    </w:rPr>
  </w:style>
  <w:style w:type="table" w:styleId="Grigliachiara">
    <w:name w:val="Light Grid"/>
    <w:basedOn w:val="Tabellanormale"/>
    <w:uiPriority w:val="62"/>
    <w:semiHidden/>
    <w:rsid w:val="004C62F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4C62F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4C62F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4C62F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4C62F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4C62F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4C62F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4C62F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4C62F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4C62F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4C62F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4C62F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4C62F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4C62F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4C62F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4C62F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4C62F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4C62F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4C62F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4C62F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4C62F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4C62FA"/>
  </w:style>
  <w:style w:type="paragraph" w:styleId="Elenco">
    <w:name w:val="List"/>
    <w:basedOn w:val="Normale"/>
    <w:uiPriority w:val="98"/>
    <w:semiHidden/>
    <w:rsid w:val="004C62FA"/>
    <w:pPr>
      <w:ind w:left="283" w:hanging="283"/>
      <w:contextualSpacing/>
    </w:pPr>
  </w:style>
  <w:style w:type="paragraph" w:styleId="Elenco2">
    <w:name w:val="List 2"/>
    <w:basedOn w:val="Normale"/>
    <w:uiPriority w:val="98"/>
    <w:semiHidden/>
    <w:rsid w:val="004C62FA"/>
    <w:pPr>
      <w:ind w:left="566" w:hanging="283"/>
      <w:contextualSpacing/>
    </w:pPr>
  </w:style>
  <w:style w:type="paragraph" w:styleId="Elenco3">
    <w:name w:val="List 3"/>
    <w:basedOn w:val="Normale"/>
    <w:uiPriority w:val="98"/>
    <w:semiHidden/>
    <w:rsid w:val="004C62FA"/>
    <w:pPr>
      <w:ind w:left="849" w:hanging="283"/>
      <w:contextualSpacing/>
    </w:pPr>
  </w:style>
  <w:style w:type="paragraph" w:styleId="Elenco4">
    <w:name w:val="List 4"/>
    <w:basedOn w:val="Normale"/>
    <w:uiPriority w:val="98"/>
    <w:semiHidden/>
    <w:rsid w:val="004C62FA"/>
    <w:pPr>
      <w:ind w:left="1132" w:hanging="283"/>
      <w:contextualSpacing/>
    </w:pPr>
  </w:style>
  <w:style w:type="paragraph" w:styleId="Elenco5">
    <w:name w:val="List 5"/>
    <w:basedOn w:val="Normale"/>
    <w:uiPriority w:val="98"/>
    <w:semiHidden/>
    <w:rsid w:val="004C62FA"/>
    <w:pPr>
      <w:ind w:left="1415" w:hanging="283"/>
      <w:contextualSpacing/>
    </w:pPr>
  </w:style>
  <w:style w:type="paragraph" w:styleId="Puntoelenco">
    <w:name w:val="List Bullet"/>
    <w:basedOn w:val="Normale"/>
    <w:uiPriority w:val="98"/>
    <w:semiHidden/>
    <w:rsid w:val="004C62FA"/>
    <w:pPr>
      <w:numPr>
        <w:numId w:val="11"/>
      </w:numPr>
    </w:pPr>
  </w:style>
  <w:style w:type="paragraph" w:styleId="Puntoelenco3">
    <w:name w:val="List Bullet 3"/>
    <w:basedOn w:val="Normale"/>
    <w:uiPriority w:val="98"/>
    <w:semiHidden/>
    <w:rsid w:val="004C62FA"/>
    <w:pPr>
      <w:numPr>
        <w:numId w:val="13"/>
      </w:numPr>
      <w:contextualSpacing/>
    </w:pPr>
  </w:style>
  <w:style w:type="paragraph" w:styleId="Puntoelenco4">
    <w:name w:val="List Bullet 4"/>
    <w:basedOn w:val="Normale"/>
    <w:uiPriority w:val="98"/>
    <w:semiHidden/>
    <w:rsid w:val="004C62FA"/>
    <w:pPr>
      <w:numPr>
        <w:numId w:val="14"/>
      </w:numPr>
      <w:contextualSpacing/>
    </w:pPr>
  </w:style>
  <w:style w:type="paragraph" w:styleId="Puntoelenco5">
    <w:name w:val="List Bullet 5"/>
    <w:basedOn w:val="Normale"/>
    <w:uiPriority w:val="98"/>
    <w:semiHidden/>
    <w:rsid w:val="004C62FA"/>
    <w:pPr>
      <w:numPr>
        <w:numId w:val="15"/>
      </w:numPr>
      <w:contextualSpacing/>
    </w:pPr>
  </w:style>
  <w:style w:type="paragraph" w:styleId="Elencocontinua">
    <w:name w:val="List Continue"/>
    <w:basedOn w:val="Normale"/>
    <w:uiPriority w:val="98"/>
    <w:semiHidden/>
    <w:rsid w:val="004C62FA"/>
    <w:pPr>
      <w:spacing w:after="120"/>
      <w:ind w:left="283"/>
      <w:contextualSpacing/>
    </w:pPr>
  </w:style>
  <w:style w:type="paragraph" w:styleId="Elencocontinua2">
    <w:name w:val="List Continue 2"/>
    <w:basedOn w:val="Normale"/>
    <w:uiPriority w:val="98"/>
    <w:semiHidden/>
    <w:rsid w:val="004C62FA"/>
    <w:pPr>
      <w:spacing w:after="120"/>
      <w:ind w:left="566"/>
      <w:contextualSpacing/>
    </w:pPr>
  </w:style>
  <w:style w:type="paragraph" w:styleId="Elencocontinua3">
    <w:name w:val="List Continue 3"/>
    <w:basedOn w:val="Normale"/>
    <w:uiPriority w:val="98"/>
    <w:semiHidden/>
    <w:rsid w:val="004C62FA"/>
    <w:pPr>
      <w:spacing w:after="120"/>
      <w:ind w:left="849"/>
      <w:contextualSpacing/>
    </w:pPr>
  </w:style>
  <w:style w:type="paragraph" w:styleId="Elencocontinua4">
    <w:name w:val="List Continue 4"/>
    <w:basedOn w:val="Normale"/>
    <w:uiPriority w:val="98"/>
    <w:semiHidden/>
    <w:rsid w:val="004C62FA"/>
    <w:pPr>
      <w:spacing w:after="120"/>
      <w:ind w:left="1132"/>
      <w:contextualSpacing/>
    </w:pPr>
  </w:style>
  <w:style w:type="paragraph" w:styleId="Elencocontinua5">
    <w:name w:val="List Continue 5"/>
    <w:basedOn w:val="Normale"/>
    <w:uiPriority w:val="98"/>
    <w:semiHidden/>
    <w:rsid w:val="004C62FA"/>
    <w:pPr>
      <w:spacing w:after="120"/>
      <w:ind w:left="1415"/>
      <w:contextualSpacing/>
    </w:pPr>
  </w:style>
  <w:style w:type="paragraph" w:styleId="Numeroelenco">
    <w:name w:val="List Number"/>
    <w:basedOn w:val="Normale"/>
    <w:uiPriority w:val="98"/>
    <w:semiHidden/>
    <w:rsid w:val="004C62FA"/>
    <w:pPr>
      <w:numPr>
        <w:numId w:val="16"/>
      </w:numPr>
      <w:contextualSpacing/>
    </w:pPr>
  </w:style>
  <w:style w:type="paragraph" w:styleId="Numeroelenco2">
    <w:name w:val="List Number 2"/>
    <w:basedOn w:val="Normale"/>
    <w:uiPriority w:val="98"/>
    <w:semiHidden/>
    <w:rsid w:val="004C62FA"/>
    <w:pPr>
      <w:numPr>
        <w:numId w:val="17"/>
      </w:numPr>
      <w:contextualSpacing/>
    </w:pPr>
  </w:style>
  <w:style w:type="paragraph" w:styleId="Numeroelenco3">
    <w:name w:val="List Number 3"/>
    <w:basedOn w:val="Normale"/>
    <w:uiPriority w:val="98"/>
    <w:semiHidden/>
    <w:rsid w:val="004C62FA"/>
    <w:pPr>
      <w:numPr>
        <w:numId w:val="18"/>
      </w:numPr>
      <w:contextualSpacing/>
    </w:pPr>
  </w:style>
  <w:style w:type="paragraph" w:styleId="Numeroelenco4">
    <w:name w:val="List Number 4"/>
    <w:basedOn w:val="Normale"/>
    <w:uiPriority w:val="98"/>
    <w:semiHidden/>
    <w:rsid w:val="004C62FA"/>
    <w:pPr>
      <w:numPr>
        <w:numId w:val="19"/>
      </w:numPr>
      <w:contextualSpacing/>
    </w:pPr>
  </w:style>
  <w:style w:type="paragraph" w:styleId="Numeroelenco5">
    <w:name w:val="List Number 5"/>
    <w:basedOn w:val="Normale"/>
    <w:uiPriority w:val="98"/>
    <w:semiHidden/>
    <w:rsid w:val="004C62FA"/>
    <w:pPr>
      <w:numPr>
        <w:numId w:val="20"/>
      </w:numPr>
      <w:contextualSpacing/>
    </w:pPr>
  </w:style>
  <w:style w:type="paragraph" w:styleId="Testomacro">
    <w:name w:val="macro"/>
    <w:link w:val="TestomacroCarattere"/>
    <w:uiPriority w:val="98"/>
    <w:semiHidden/>
    <w:rsid w:val="004C62F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4C62FA"/>
    <w:rPr>
      <w:rFonts w:ascii="Consolas" w:eastAsiaTheme="minorEastAsia" w:hAnsi="Consolas" w:cs="Consolas"/>
      <w:sz w:val="20"/>
      <w:szCs w:val="20"/>
    </w:rPr>
  </w:style>
  <w:style w:type="table" w:styleId="Grigliamedia1">
    <w:name w:val="Medium Grid 1"/>
    <w:basedOn w:val="Tabellanormale"/>
    <w:uiPriority w:val="67"/>
    <w:semiHidden/>
    <w:rsid w:val="004C62F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4C62F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4C62F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4C62F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4C62F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4C62F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4C62F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4C62F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4C62F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4C62F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4C62F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4C62F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4C62F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4C62F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4C62F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4C62F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4C62F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4C62F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4C62F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4C62F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4C62F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4C62F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4C62F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4C62F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4C62F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4C62F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4C62F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4C62F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4C62F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4C62F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4C62F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4C62F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4C62F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4C62F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4C62F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4C62F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4C62F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4C62F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4C62F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4C62F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4C62F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4C62F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4C62F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4C62F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4C62F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4C62F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4C62F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4C62F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4C62F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4C62F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4C62FA"/>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4C62FA"/>
    <w:rPr>
      <w:rFonts w:ascii="Times New Roman" w:hAnsi="Times New Roman" w:cs="Times New Roman"/>
    </w:rPr>
  </w:style>
  <w:style w:type="paragraph" w:styleId="Rientronormale">
    <w:name w:val="Normal Indent"/>
    <w:basedOn w:val="Normale"/>
    <w:uiPriority w:val="98"/>
    <w:semiHidden/>
    <w:rsid w:val="004C62FA"/>
    <w:pPr>
      <w:ind w:left="720"/>
    </w:pPr>
  </w:style>
  <w:style w:type="paragraph" w:styleId="Intestazionenota">
    <w:name w:val="Note Heading"/>
    <w:basedOn w:val="Normale"/>
    <w:next w:val="Normale"/>
    <w:link w:val="IntestazionenotaCarattere"/>
    <w:uiPriority w:val="98"/>
    <w:semiHidden/>
    <w:rsid w:val="004C62FA"/>
  </w:style>
  <w:style w:type="character" w:customStyle="1" w:styleId="IntestazionenotaCarattere">
    <w:name w:val="Intestazione nota Carattere"/>
    <w:basedOn w:val="Carpredefinitoparagrafo"/>
    <w:link w:val="Intestazionenota"/>
    <w:uiPriority w:val="98"/>
    <w:semiHidden/>
    <w:rsid w:val="004C62FA"/>
    <w:rPr>
      <w:sz w:val="24"/>
      <w:szCs w:val="24"/>
      <w:lang w:val="fr-FR"/>
    </w:rPr>
  </w:style>
  <w:style w:type="character" w:styleId="Testosegnaposto">
    <w:name w:val="Placeholder Text"/>
    <w:basedOn w:val="Carpredefinitoparagrafo"/>
    <w:uiPriority w:val="98"/>
    <w:semiHidden/>
    <w:rsid w:val="004C62FA"/>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4C62FA"/>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4C62FA"/>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4C62FA"/>
  </w:style>
  <w:style w:type="character" w:customStyle="1" w:styleId="FormuladiaperturaCarattere">
    <w:name w:val="Formula di apertura Carattere"/>
    <w:basedOn w:val="Carpredefinitoparagrafo"/>
    <w:link w:val="Formuladiapertura"/>
    <w:uiPriority w:val="98"/>
    <w:semiHidden/>
    <w:rsid w:val="004C62FA"/>
    <w:rPr>
      <w:sz w:val="24"/>
      <w:szCs w:val="24"/>
      <w:lang w:val="fr-FR"/>
    </w:rPr>
  </w:style>
  <w:style w:type="paragraph" w:styleId="Firma">
    <w:name w:val="Signature"/>
    <w:basedOn w:val="Normale"/>
    <w:link w:val="FirmaCarattere"/>
    <w:uiPriority w:val="98"/>
    <w:semiHidden/>
    <w:rsid w:val="004C62FA"/>
    <w:pPr>
      <w:ind w:left="4252"/>
    </w:pPr>
  </w:style>
  <w:style w:type="character" w:customStyle="1" w:styleId="FirmaCarattere">
    <w:name w:val="Firma Carattere"/>
    <w:basedOn w:val="Carpredefinitoparagrafo"/>
    <w:link w:val="Firma"/>
    <w:uiPriority w:val="98"/>
    <w:semiHidden/>
    <w:rsid w:val="004C62FA"/>
    <w:rPr>
      <w:sz w:val="24"/>
      <w:szCs w:val="24"/>
      <w:lang w:val="fr-FR"/>
    </w:rPr>
  </w:style>
  <w:style w:type="table" w:styleId="Tabellaeffetti3D1">
    <w:name w:val="Table 3D effects 1"/>
    <w:basedOn w:val="Tabellanormale"/>
    <w:uiPriority w:val="99"/>
    <w:semiHidden/>
    <w:unhideWhenUsed/>
    <w:rsid w:val="004C62F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4C62F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4C62F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4C62F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4C62F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4C62F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4C62F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4C62F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4C62F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4C62F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4C62F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4C62F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4C62F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4C62F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4C62F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4C62F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4C62F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4C62F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4C62F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4C62F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4C62F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4C62F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4C62F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4C62F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4C62F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4C62F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4C62F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4C62F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4C62F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4C62F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4C62F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4C62F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4C62F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4C62FA"/>
    <w:pPr>
      <w:ind w:left="240" w:hanging="240"/>
    </w:pPr>
  </w:style>
  <w:style w:type="paragraph" w:styleId="Indicedellefigure">
    <w:name w:val="table of figures"/>
    <w:basedOn w:val="Normale"/>
    <w:next w:val="Normale"/>
    <w:uiPriority w:val="98"/>
    <w:semiHidden/>
    <w:rsid w:val="004C62FA"/>
  </w:style>
  <w:style w:type="table" w:styleId="Tabellaprofessionale">
    <w:name w:val="Table Professional"/>
    <w:basedOn w:val="Tabellanormale"/>
    <w:uiPriority w:val="99"/>
    <w:semiHidden/>
    <w:unhideWhenUsed/>
    <w:rsid w:val="004C62F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4C62F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4C62F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4C62F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4C62F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4C62F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4C62F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4C62F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4C62F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4C62F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4C62FA"/>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4C62FA"/>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4C62FA"/>
    <w:pPr>
      <w:spacing w:after="100"/>
      <w:ind w:left="1680"/>
    </w:pPr>
  </w:style>
  <w:style w:type="paragraph" w:styleId="Sommario9">
    <w:name w:val="toc 9"/>
    <w:basedOn w:val="Normale"/>
    <w:next w:val="Normale"/>
    <w:autoRedefine/>
    <w:uiPriority w:val="98"/>
    <w:semiHidden/>
    <w:rsid w:val="004C62FA"/>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4C62F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4C62FA"/>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4C62F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4C62F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4C62FA"/>
    <w:pPr>
      <w:numPr>
        <w:numId w:val="8"/>
      </w:numPr>
      <w:spacing w:before="60" w:after="60"/>
    </w:pPr>
  </w:style>
  <w:style w:type="paragraph" w:customStyle="1" w:styleId="ECHRBullet2">
    <w:name w:val="ECHR_Bullet_2"/>
    <w:aliases w:val="_Bul_2"/>
    <w:basedOn w:val="ECHRBullet1"/>
    <w:uiPriority w:val="23"/>
    <w:semiHidden/>
    <w:rsid w:val="004C62FA"/>
    <w:pPr>
      <w:numPr>
        <w:ilvl w:val="1"/>
      </w:numPr>
    </w:pPr>
  </w:style>
  <w:style w:type="paragraph" w:customStyle="1" w:styleId="ECHRBullet3">
    <w:name w:val="ECHR_Bullet_3"/>
    <w:aliases w:val="_Bul_3"/>
    <w:basedOn w:val="ECHRBullet2"/>
    <w:uiPriority w:val="23"/>
    <w:semiHidden/>
    <w:rsid w:val="004C62FA"/>
    <w:pPr>
      <w:numPr>
        <w:ilvl w:val="2"/>
      </w:numPr>
    </w:pPr>
  </w:style>
  <w:style w:type="paragraph" w:customStyle="1" w:styleId="ECHRBullet4">
    <w:name w:val="ECHR_Bullet_4"/>
    <w:aliases w:val="_Bul_4"/>
    <w:basedOn w:val="ECHRBullet3"/>
    <w:uiPriority w:val="23"/>
    <w:semiHidden/>
    <w:rsid w:val="004C62FA"/>
    <w:pPr>
      <w:numPr>
        <w:ilvl w:val="3"/>
      </w:numPr>
    </w:pPr>
  </w:style>
  <w:style w:type="paragraph" w:customStyle="1" w:styleId="ECHRConfidential">
    <w:name w:val="ECHR_Confidential"/>
    <w:aliases w:val="_Confidential"/>
    <w:basedOn w:val="Normale"/>
    <w:next w:val="Normale"/>
    <w:uiPriority w:val="42"/>
    <w:semiHidden/>
    <w:qFormat/>
    <w:rsid w:val="004C62FA"/>
    <w:pPr>
      <w:jc w:val="right"/>
    </w:pPr>
    <w:rPr>
      <w:color w:val="C00000"/>
      <w:sz w:val="20"/>
    </w:rPr>
  </w:style>
  <w:style w:type="paragraph" w:customStyle="1" w:styleId="ECHRDecisionBody">
    <w:name w:val="ECHR_Decision_Body"/>
    <w:aliases w:val="_Decision_Body"/>
    <w:basedOn w:val="NormalJustified"/>
    <w:uiPriority w:val="54"/>
    <w:semiHidden/>
    <w:rsid w:val="004C62FA"/>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4C62FA"/>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4C62FA"/>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4C62F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4C62FA"/>
    <w:pPr>
      <w:jc w:val="right"/>
    </w:pPr>
    <w:rPr>
      <w:sz w:val="20"/>
    </w:rPr>
  </w:style>
  <w:style w:type="paragraph" w:customStyle="1" w:styleId="ECHRHeaderRefIt">
    <w:name w:val="ECHR_Header_Ref_It"/>
    <w:aliases w:val="_Ref_Ital"/>
    <w:basedOn w:val="Normale"/>
    <w:next w:val="ECHRHeaderDate"/>
    <w:uiPriority w:val="43"/>
    <w:semiHidden/>
    <w:qFormat/>
    <w:rsid w:val="004C62FA"/>
    <w:pPr>
      <w:jc w:val="right"/>
    </w:pPr>
    <w:rPr>
      <w:i/>
      <w:sz w:val="20"/>
    </w:rPr>
  </w:style>
  <w:style w:type="paragraph" w:customStyle="1" w:styleId="ECHRHeading9">
    <w:name w:val="ECHR_Heading_9"/>
    <w:aliases w:val="_Head_9"/>
    <w:basedOn w:val="Titolo9"/>
    <w:uiPriority w:val="17"/>
    <w:semiHidden/>
    <w:rsid w:val="004C62FA"/>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4C62F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4C62FA"/>
    <w:pPr>
      <w:numPr>
        <w:numId w:val="10"/>
      </w:numPr>
      <w:spacing w:before="60" w:after="60"/>
    </w:pPr>
  </w:style>
  <w:style w:type="paragraph" w:customStyle="1" w:styleId="ECHRNumberedList2">
    <w:name w:val="ECHR_Numbered_List_2"/>
    <w:aliases w:val="_Num_2"/>
    <w:basedOn w:val="ECHRNumberedList1"/>
    <w:uiPriority w:val="23"/>
    <w:semiHidden/>
    <w:rsid w:val="004C62FA"/>
    <w:pPr>
      <w:numPr>
        <w:ilvl w:val="1"/>
      </w:numPr>
    </w:pPr>
  </w:style>
  <w:style w:type="paragraph" w:customStyle="1" w:styleId="ECHRNumberedList3">
    <w:name w:val="ECHR_Numbered_List_3"/>
    <w:aliases w:val="_Num_3"/>
    <w:basedOn w:val="ECHRNumberedList2"/>
    <w:uiPriority w:val="23"/>
    <w:semiHidden/>
    <w:rsid w:val="004C62FA"/>
    <w:pPr>
      <w:numPr>
        <w:ilvl w:val="2"/>
      </w:numPr>
    </w:pPr>
  </w:style>
  <w:style w:type="paragraph" w:customStyle="1" w:styleId="ECHRParaHanging">
    <w:name w:val="ECHR_Para_Hanging"/>
    <w:aliases w:val="_Hanging"/>
    <w:basedOn w:val="Normale"/>
    <w:uiPriority w:val="8"/>
    <w:semiHidden/>
    <w:qFormat/>
    <w:rsid w:val="004C62FA"/>
    <w:pPr>
      <w:ind w:left="567" w:hanging="567"/>
      <w:jc w:val="both"/>
    </w:pPr>
  </w:style>
  <w:style w:type="paragraph" w:customStyle="1" w:styleId="ECHRParaIndent">
    <w:name w:val="ECHR_Para_Indent"/>
    <w:aliases w:val="_Indent"/>
    <w:basedOn w:val="Normale"/>
    <w:uiPriority w:val="7"/>
    <w:semiHidden/>
    <w:qFormat/>
    <w:rsid w:val="004C62FA"/>
    <w:pPr>
      <w:spacing w:before="120" w:after="120"/>
      <w:ind w:left="567"/>
      <w:jc w:val="both"/>
    </w:pPr>
  </w:style>
  <w:style w:type="character" w:customStyle="1" w:styleId="ECHRRed">
    <w:name w:val="ECHR_Red"/>
    <w:aliases w:val="_Red"/>
    <w:basedOn w:val="Carpredefinitoparagrafo"/>
    <w:uiPriority w:val="15"/>
    <w:semiHidden/>
    <w:qFormat/>
    <w:rsid w:val="004C62FA"/>
    <w:rPr>
      <w:color w:val="C00000" w:themeColor="accent2"/>
    </w:rPr>
  </w:style>
  <w:style w:type="paragraph" w:customStyle="1" w:styleId="DecList">
    <w:name w:val="Dec_List"/>
    <w:aliases w:val="_List"/>
    <w:basedOn w:val="JuList"/>
    <w:uiPriority w:val="22"/>
    <w:rsid w:val="004C62FA"/>
    <w:pPr>
      <w:numPr>
        <w:numId w:val="0"/>
      </w:numPr>
      <w:ind w:left="284"/>
    </w:pPr>
  </w:style>
  <w:style w:type="table" w:customStyle="1" w:styleId="ECHRTable2">
    <w:name w:val="ECHR_Table_2"/>
    <w:basedOn w:val="Tabellanormale"/>
    <w:uiPriority w:val="99"/>
    <w:rsid w:val="004C62F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4C62F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4C62F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4C62F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4C62F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4C62F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4C62F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4C62F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4C62FA"/>
    <w:pPr>
      <w:outlineLvl w:val="0"/>
    </w:pPr>
  </w:style>
  <w:style w:type="paragraph" w:customStyle="1" w:styleId="ECHRTitleTOC1">
    <w:name w:val="ECHR_Title_TOC_1"/>
    <w:aliases w:val="_Title_L_TOC"/>
    <w:basedOn w:val="ECHRTitle1"/>
    <w:next w:val="Normale"/>
    <w:uiPriority w:val="27"/>
    <w:semiHidden/>
    <w:qFormat/>
    <w:rsid w:val="004C62FA"/>
    <w:pPr>
      <w:outlineLvl w:val="0"/>
    </w:pPr>
  </w:style>
  <w:style w:type="paragraph" w:customStyle="1" w:styleId="ECHRPlaceholder">
    <w:name w:val="ECHR_Placeholder"/>
    <w:aliases w:val="_Placeholder"/>
    <w:basedOn w:val="JuSigned"/>
    <w:uiPriority w:val="31"/>
    <w:rsid w:val="004C62FA"/>
    <w:rPr>
      <w:color w:val="FFFFFF"/>
    </w:rPr>
  </w:style>
  <w:style w:type="paragraph" w:customStyle="1" w:styleId="ECHRSpacer">
    <w:name w:val="ECHR_Spacer"/>
    <w:aliases w:val="_Spacer"/>
    <w:basedOn w:val="Normale"/>
    <w:uiPriority w:val="45"/>
    <w:semiHidden/>
    <w:rsid w:val="004C62FA"/>
    <w:rPr>
      <w:sz w:val="4"/>
    </w:rPr>
  </w:style>
  <w:style w:type="table" w:customStyle="1" w:styleId="ECHRTableGrey">
    <w:name w:val="ECHR_Table_Grey"/>
    <w:basedOn w:val="Tabellanormale"/>
    <w:uiPriority w:val="99"/>
    <w:rsid w:val="004C62F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E92177"/>
    <w:rPr>
      <w:sz w:val="24"/>
      <w:szCs w:val="24"/>
      <w:lang w:val="fr-FR"/>
    </w:rPr>
  </w:style>
  <w:style w:type="character" w:customStyle="1" w:styleId="JuJudgesChar">
    <w:name w:val="Ju_Judges Char"/>
    <w:link w:val="JuJudges"/>
    <w:uiPriority w:val="32"/>
    <w:rsid w:val="00E07857"/>
    <w:rPr>
      <w:sz w:val="24"/>
      <w:szCs w:val="24"/>
      <w:lang w:val="fr-FR"/>
    </w:rPr>
  </w:style>
  <w:style w:type="table" w:styleId="Tabellagriglia1chiara">
    <w:name w:val="Grid Table 1 Light"/>
    <w:basedOn w:val="Tabellanormale"/>
    <w:uiPriority w:val="46"/>
    <w:semiHidden/>
    <w:rsid w:val="004C62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4C62F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4C62F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4C62F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4C62F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4C62F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4C62F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4C62F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4C62F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4C62F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4C62F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4C62F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4C62F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4C62F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4C62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4C62F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4C62F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4C62F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4C62F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4C62F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4C62F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4C62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4C62F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4C62F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4C62F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4C62F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4C62F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4C62F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4C62F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4C62F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4C62F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4C62F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4C62F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4C62F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4C62F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4C62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4C62F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4C62F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4C62F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4C62F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4C62F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4C62F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4C62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4C62F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4C62F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4C62F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4C62F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4C62F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4C62F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4C62FA"/>
    <w:rPr>
      <w:color w:val="2B579A"/>
      <w:shd w:val="clear" w:color="auto" w:fill="E1DFDD"/>
    </w:rPr>
  </w:style>
  <w:style w:type="table" w:styleId="Tabellaelenco1chiara">
    <w:name w:val="List Table 1 Light"/>
    <w:basedOn w:val="Tabellanormale"/>
    <w:uiPriority w:val="46"/>
    <w:semiHidden/>
    <w:rsid w:val="004C62F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4C62F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4C62F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4C62F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4C62F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4C62F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4C62F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4C62F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4C62F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4C62F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4C62F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4C62F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4C62F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4C62F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4C62F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4C62F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4C62F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4C62F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4C62F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4C62F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4C62F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4C62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4C62F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4C62F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4C62F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4C62F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4C62F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4C62F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4C62F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4C62F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4C62F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4C62F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4C62F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4C62F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4C62F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4C62F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4C62F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4C62F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4C62F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4C62F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4C62F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4C62F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4C62F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4C62F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4C62F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4C62F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4C62F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4C62F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4C62F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4C62FA"/>
    <w:rPr>
      <w:color w:val="2B579A"/>
      <w:shd w:val="clear" w:color="auto" w:fill="E1DFDD"/>
    </w:rPr>
  </w:style>
  <w:style w:type="table" w:styleId="Tabellasemplice-1">
    <w:name w:val="Plain Table 1"/>
    <w:basedOn w:val="Tabellanormale"/>
    <w:uiPriority w:val="41"/>
    <w:semiHidden/>
    <w:rsid w:val="004C62F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4C62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4C62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4C62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4C62F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4C62FA"/>
    <w:rPr>
      <w:u w:val="dotted"/>
    </w:rPr>
  </w:style>
  <w:style w:type="character" w:customStyle="1" w:styleId="SmartLink">
    <w:name w:val="Smart Link"/>
    <w:basedOn w:val="Carpredefinitoparagrafo"/>
    <w:uiPriority w:val="99"/>
    <w:semiHidden/>
    <w:unhideWhenUsed/>
    <w:rsid w:val="004C62FA"/>
    <w:rPr>
      <w:color w:val="0000FF"/>
      <w:u w:val="single"/>
      <w:shd w:val="clear" w:color="auto" w:fill="F3F2F1"/>
    </w:rPr>
  </w:style>
  <w:style w:type="table" w:styleId="Grigliatabellachiara">
    <w:name w:val="Grid Table Light"/>
    <w:basedOn w:val="Tabellanormale"/>
    <w:uiPriority w:val="40"/>
    <w:semiHidden/>
    <w:rsid w:val="004C62F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4C6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hudoc.echr.coe.int/e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0722-AC0D-4294-81B1-3E5326AEC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BBE320-389B-456B-9765-3B83CA5EFA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6CAD59-4C3A-4400-B4B9-472A575FD85A}">
  <ds:schemaRefs>
    <ds:schemaRef ds:uri="http://schemas.microsoft.com/sharepoint/v3/contenttype/forms"/>
  </ds:schemaRefs>
</ds:datastoreItem>
</file>

<file path=customXml/itemProps4.xml><?xml version="1.0" encoding="utf-8"?>
<ds:datastoreItem xmlns:ds="http://schemas.openxmlformats.org/officeDocument/2006/customXml" ds:itemID="{6385F42B-B03B-4402-9089-A8B70986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2451</Words>
  <Characters>13977</Characters>
  <Application>Microsoft Office Word</Application>
  <DocSecurity>0</DocSecurity>
  <Lines>116</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2021-09-24T08:30:00Z</dcterms:created>
  <dcterms:modified xsi:type="dcterms:W3CDTF">2021-09-24T08:30:00Z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12205/16</vt:lpwstr>
  </property>
  <property fmtid="{D5CDD505-2E9C-101B-9397-08002B2CF9AE}" pid="4" name="CASEID">
    <vt:lpwstr>1185703</vt:lpwstr>
  </property>
  <property fmtid="{D5CDD505-2E9C-101B-9397-08002B2CF9AE}" pid="5" name="ContentTypeId">
    <vt:lpwstr>0x010100558EB02BDB9E204AB350EDD385B68E10</vt:lpwstr>
  </property>
</Properties>
</file>